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8542F">
      <w:pPr>
        <w:keepNext w:val="0"/>
        <w:keepLines w:val="0"/>
        <w:pageBreakBefore w:val="0"/>
        <w:widowControl w:val="0"/>
        <w:kinsoku/>
        <w:wordWrap/>
        <w:overflowPunct/>
        <w:topLinePunct w:val="0"/>
        <w:autoSpaceDE/>
        <w:autoSpaceDN/>
        <w:bidi w:val="0"/>
        <w:adjustRightInd/>
        <w:snapToGrid/>
        <w:spacing w:line="640" w:lineRule="exact"/>
        <w:ind w:left="0" w:leftChars="0" w:firstLine="0" w:firstLineChars="0"/>
        <w:jc w:val="center"/>
        <w:textAlignment w:val="auto"/>
        <w:rPr>
          <w:rFonts w:ascii="黑体" w:eastAsia="黑体"/>
          <w:color w:val="000000"/>
          <w:sz w:val="36"/>
          <w:szCs w:val="36"/>
        </w:rPr>
      </w:pPr>
      <w:r>
        <w:rPr>
          <w:rFonts w:hint="eastAsia" w:ascii="方正小标宋简体" w:hAnsi="方正小标宋简体" w:eastAsia="方正小标宋简体" w:cs="方正小标宋简体"/>
          <w:color w:val="000000"/>
          <w:sz w:val="44"/>
          <w:szCs w:val="44"/>
          <w:lang w:val="en-US" w:eastAsia="zh-CN"/>
        </w:rPr>
        <w:t>地方标准</w:t>
      </w:r>
      <w:r>
        <w:rPr>
          <w:rFonts w:hint="eastAsia" w:ascii="方正小标宋简体" w:hAnsi="方正小标宋简体" w:eastAsia="方正小标宋简体" w:cs="方正小标宋简体"/>
          <w:color w:val="000000"/>
          <w:sz w:val="44"/>
          <w:szCs w:val="44"/>
        </w:rPr>
        <w:t>编制说明</w:t>
      </w:r>
    </w:p>
    <w:p w14:paraId="4AFFF8DE">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firstLine="600" w:firstLineChars="200"/>
        <w:textAlignment w:val="auto"/>
        <w:outlineLvl w:val="0"/>
        <w:rPr>
          <w:rFonts w:hint="eastAsia" w:ascii="黑体" w:hAnsi="Times New Roman" w:eastAsia="黑体" w:cs="Times New Roman"/>
          <w:color w:val="000000"/>
          <w:sz w:val="30"/>
          <w:szCs w:val="30"/>
          <w:lang w:eastAsia="zh-CN"/>
        </w:rPr>
      </w:pPr>
    </w:p>
    <w:p w14:paraId="5FF117CB">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firstLine="600" w:firstLineChars="200"/>
        <w:textAlignment w:val="auto"/>
        <w:outlineLvl w:val="0"/>
        <w:rPr>
          <w:rFonts w:hint="eastAsia" w:ascii="方正黑体简体" w:hAnsi="方正黑体简体" w:eastAsia="方正黑体简体" w:cs="方正黑体简体"/>
          <w:sz w:val="28"/>
          <w:szCs w:val="28"/>
        </w:rPr>
      </w:pPr>
      <w:r>
        <w:rPr>
          <w:rFonts w:hint="eastAsia" w:ascii="方正黑体简体" w:hAnsi="方正黑体简体" w:eastAsia="方正黑体简体" w:cs="方正黑体简体"/>
          <w:color w:val="000000"/>
          <w:sz w:val="30"/>
          <w:szCs w:val="30"/>
          <w:lang w:eastAsia="zh-CN"/>
        </w:rPr>
        <w:t>一、</w:t>
      </w:r>
      <w:r>
        <w:rPr>
          <w:rFonts w:hint="eastAsia" w:ascii="方正黑体简体" w:hAnsi="方正黑体简体" w:eastAsia="方正黑体简体" w:cs="方正黑体简体"/>
          <w:color w:val="000000"/>
          <w:sz w:val="30"/>
          <w:szCs w:val="30"/>
        </w:rPr>
        <w:t>工作简况</w:t>
      </w:r>
    </w:p>
    <w:p w14:paraId="4CF3055C">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jc w:val="left"/>
        <w:textAlignment w:val="auto"/>
        <w:rPr>
          <w:rFonts w:hint="eastAsia" w:ascii="方正楷体简体" w:hAnsi="方正楷体简体" w:eastAsia="方正楷体简体" w:cs="方正楷体简体"/>
          <w:b/>
          <w:bCs/>
          <w:color w:val="000000" w:themeColor="text1"/>
          <w:sz w:val="32"/>
          <w:szCs w:val="32"/>
          <w:lang w:val="en-US" w:eastAsia="zh-CN"/>
          <w14:textFill>
            <w14:solidFill>
              <w14:schemeClr w14:val="tx1"/>
            </w14:solidFill>
          </w14:textFill>
        </w:rPr>
      </w:pPr>
      <w:r>
        <w:rPr>
          <w:rFonts w:hint="eastAsia" w:ascii="方正楷体简体" w:hAnsi="方正楷体简体" w:eastAsia="方正楷体简体" w:cs="方正楷体简体"/>
          <w:b/>
          <w:bCs/>
          <w:color w:val="000000" w:themeColor="text1"/>
          <w:sz w:val="32"/>
          <w:szCs w:val="32"/>
          <w:lang w:val="en-US" w:eastAsia="zh-CN"/>
          <w14:textFill>
            <w14:solidFill>
              <w14:schemeClr w14:val="tx1"/>
            </w14:solidFill>
          </w14:textFill>
        </w:rPr>
        <w:t>（一）任务来源</w:t>
      </w:r>
    </w:p>
    <w:p w14:paraId="7965FAFB">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jc w:val="both"/>
        <w:textAlignment w:val="auto"/>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2024年9月4日，由江西省交通投资集团</w:t>
      </w:r>
      <w:r>
        <w:rPr>
          <w:rFonts w:hint="eastAsia" w:eastAsia="方正仿宋简体" w:cs="Times New Roman"/>
          <w:color w:val="000000" w:themeColor="text1"/>
          <w:sz w:val="32"/>
          <w:szCs w:val="32"/>
          <w:lang w:val="en-US" w:eastAsia="zh-CN"/>
          <w14:textFill>
            <w14:solidFill>
              <w14:schemeClr w14:val="tx1"/>
            </w14:solidFill>
          </w14:textFill>
        </w:rPr>
        <w:t>有限责任公司</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吉安西管理中心申请地方标准的立项，根据《江西省市场监管局关于下达2024年第十批江西省地方标准制修订计划的通知》（赣市监标〔2024〕21号），批准《高速公路智慧收费站运营规范》地方标准的制定。本文件由江西省交通运输厅提出，江西省交通运输标准化技术委员会归口管理。</w:t>
      </w:r>
    </w:p>
    <w:p w14:paraId="2B53DFC4">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jc w:val="left"/>
        <w:textAlignment w:val="auto"/>
        <w:rPr>
          <w:rFonts w:hint="default" w:ascii="方正楷体简体" w:hAnsi="方正楷体简体" w:eastAsia="方正楷体简体" w:cs="方正楷体简体"/>
          <w:b/>
          <w:bCs/>
          <w:color w:val="000000" w:themeColor="text1"/>
          <w:sz w:val="32"/>
          <w:szCs w:val="32"/>
          <w:lang w:val="en-US" w:eastAsia="zh-CN"/>
          <w14:textFill>
            <w14:solidFill>
              <w14:schemeClr w14:val="tx1"/>
            </w14:solidFill>
          </w14:textFill>
        </w:rPr>
      </w:pPr>
      <w:r>
        <w:rPr>
          <w:rFonts w:hint="eastAsia" w:ascii="方正楷体简体" w:hAnsi="方正楷体简体" w:eastAsia="方正楷体简体" w:cs="方正楷体简体"/>
          <w:b/>
          <w:bCs/>
          <w:color w:val="000000" w:themeColor="text1"/>
          <w:sz w:val="32"/>
          <w:szCs w:val="32"/>
          <w:lang w:val="en-US" w:eastAsia="zh-CN"/>
          <w14:textFill>
            <w14:solidFill>
              <w14:schemeClr w14:val="tx1"/>
            </w14:solidFill>
          </w14:textFill>
        </w:rPr>
        <w:t>（二）起草单位</w:t>
      </w:r>
    </w:p>
    <w:p w14:paraId="02F529CA">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jc w:val="both"/>
        <w:textAlignment w:val="auto"/>
        <w:rPr>
          <w:rFonts w:hint="eastAsia" w:eastAsia="方正仿宋简体"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简体" w:cs="Times New Roman"/>
          <w:color w:val="000000" w:themeColor="text1"/>
          <w:sz w:val="32"/>
          <w:szCs w:val="32"/>
          <w:lang w:val="en-US" w:eastAsia="zh-CN"/>
          <w14:textFill>
            <w14:solidFill>
              <w14:schemeClr w14:val="tx1"/>
            </w14:solidFill>
          </w14:textFill>
        </w:rPr>
        <w:t>起草单位：</w:t>
      </w:r>
      <w:r>
        <w:rPr>
          <w:rFonts w:hint="eastAsia" w:eastAsia="方正仿宋简体" w:cs="Times New Roman"/>
          <w:color w:val="000000" w:themeColor="text1"/>
          <w:sz w:val="32"/>
          <w:szCs w:val="32"/>
          <w:lang w:val="en-US" w:eastAsia="zh-CN"/>
          <w14:textFill>
            <w14:solidFill>
              <w14:schemeClr w14:val="tx1"/>
            </w14:solidFill>
          </w14:textFill>
        </w:rPr>
        <w:t>江西省交通投资集团有限责任公司</w:t>
      </w:r>
    </w:p>
    <w:p w14:paraId="0996410D">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jc w:val="left"/>
        <w:textAlignment w:val="auto"/>
        <w:rPr>
          <w:rFonts w:hint="eastAsia" w:ascii="方正楷体简体" w:hAnsi="方正楷体简体" w:eastAsia="方正楷体简体" w:cs="方正楷体简体"/>
          <w:b/>
          <w:bCs/>
          <w:color w:val="000000" w:themeColor="text1"/>
          <w:sz w:val="32"/>
          <w:szCs w:val="32"/>
          <w:lang w:val="en-US" w:eastAsia="zh-CN"/>
          <w14:textFill>
            <w14:solidFill>
              <w14:schemeClr w14:val="tx1"/>
            </w14:solidFill>
          </w14:textFill>
        </w:rPr>
      </w:pPr>
      <w:r>
        <w:rPr>
          <w:rFonts w:hint="eastAsia" w:ascii="方正楷体简体" w:hAnsi="方正楷体简体" w:eastAsia="方正楷体简体" w:cs="方正楷体简体"/>
          <w:b/>
          <w:bCs/>
          <w:color w:val="000000" w:themeColor="text1"/>
          <w:sz w:val="32"/>
          <w:szCs w:val="32"/>
          <w:lang w:val="en-US" w:eastAsia="zh-CN"/>
          <w14:textFill>
            <w14:solidFill>
              <w14:schemeClr w14:val="tx1"/>
            </w14:solidFill>
          </w14:textFill>
        </w:rPr>
        <w:t>（三）主要起草人</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
        <w:gridCol w:w="885"/>
        <w:gridCol w:w="1560"/>
        <w:gridCol w:w="2580"/>
        <w:gridCol w:w="2513"/>
      </w:tblGrid>
      <w:tr w14:paraId="537F9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tcPr>
          <w:p w14:paraId="2B661C8A">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30"/>
                <w:szCs w:val="30"/>
                <w:vertAlign w:val="baseline"/>
                <w:lang w:val="en-US" w:eastAsia="zh-CN"/>
                <w14:textFill>
                  <w14:solidFill>
                    <w14:schemeClr w14:val="tx1"/>
                  </w14:solidFill>
                </w14:textFill>
              </w:rPr>
            </w:pPr>
            <w:r>
              <w:rPr>
                <w:rFonts w:hint="eastAsia" w:eastAsia="方正仿宋简体" w:cs="Times New Roman"/>
                <w:color w:val="000000" w:themeColor="text1"/>
                <w:sz w:val="30"/>
                <w:szCs w:val="30"/>
                <w:vertAlign w:val="baseline"/>
                <w:lang w:val="en-US" w:eastAsia="zh-CN"/>
                <w14:textFill>
                  <w14:solidFill>
                    <w14:schemeClr w14:val="tx1"/>
                  </w14:solidFill>
                </w14:textFill>
              </w:rPr>
              <w:t>姓名</w:t>
            </w:r>
          </w:p>
        </w:tc>
        <w:tc>
          <w:tcPr>
            <w:tcW w:w="885" w:type="dxa"/>
          </w:tcPr>
          <w:p w14:paraId="51C0638E">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30"/>
                <w:szCs w:val="30"/>
                <w:vertAlign w:val="baseline"/>
                <w:lang w:val="en-US" w:eastAsia="zh-CN"/>
                <w14:textFill>
                  <w14:solidFill>
                    <w14:schemeClr w14:val="tx1"/>
                  </w14:solidFill>
                </w14:textFill>
              </w:rPr>
            </w:pPr>
            <w:r>
              <w:rPr>
                <w:rFonts w:hint="eastAsia" w:eastAsia="方正仿宋简体" w:cs="Times New Roman"/>
                <w:color w:val="000000" w:themeColor="text1"/>
                <w:sz w:val="30"/>
                <w:szCs w:val="30"/>
                <w:vertAlign w:val="baseline"/>
                <w:lang w:val="en-US" w:eastAsia="zh-CN"/>
                <w14:textFill>
                  <w14:solidFill>
                    <w14:schemeClr w14:val="tx1"/>
                  </w14:solidFill>
                </w14:textFill>
              </w:rPr>
              <w:t>性别</w:t>
            </w:r>
          </w:p>
        </w:tc>
        <w:tc>
          <w:tcPr>
            <w:tcW w:w="1560" w:type="dxa"/>
          </w:tcPr>
          <w:p w14:paraId="48B445CA">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30"/>
                <w:szCs w:val="30"/>
                <w:vertAlign w:val="baseline"/>
                <w:lang w:val="en-US" w:eastAsia="zh-CN"/>
                <w14:textFill>
                  <w14:solidFill>
                    <w14:schemeClr w14:val="tx1"/>
                  </w14:solidFill>
                </w14:textFill>
              </w:rPr>
            </w:pPr>
            <w:r>
              <w:rPr>
                <w:rFonts w:hint="eastAsia" w:eastAsia="方正仿宋简体" w:cs="Times New Roman"/>
                <w:color w:val="000000" w:themeColor="text1"/>
                <w:sz w:val="30"/>
                <w:szCs w:val="30"/>
                <w:vertAlign w:val="baseline"/>
                <w:lang w:val="en-US" w:eastAsia="zh-CN"/>
                <w14:textFill>
                  <w14:solidFill>
                    <w14:schemeClr w14:val="tx1"/>
                  </w14:solidFill>
                </w14:textFill>
              </w:rPr>
              <w:t>职务/职称</w:t>
            </w:r>
          </w:p>
        </w:tc>
        <w:tc>
          <w:tcPr>
            <w:tcW w:w="2580" w:type="dxa"/>
          </w:tcPr>
          <w:p w14:paraId="6BBB02D0">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30"/>
                <w:szCs w:val="30"/>
                <w:vertAlign w:val="baseline"/>
                <w:lang w:val="en-US" w:eastAsia="zh-CN"/>
                <w14:textFill>
                  <w14:solidFill>
                    <w14:schemeClr w14:val="tx1"/>
                  </w14:solidFill>
                </w14:textFill>
              </w:rPr>
            </w:pPr>
            <w:r>
              <w:rPr>
                <w:rFonts w:hint="eastAsia" w:eastAsia="方正仿宋简体" w:cs="Times New Roman"/>
                <w:color w:val="000000" w:themeColor="text1"/>
                <w:sz w:val="30"/>
                <w:szCs w:val="30"/>
                <w:vertAlign w:val="baseline"/>
                <w:lang w:val="en-US" w:eastAsia="zh-CN"/>
                <w14:textFill>
                  <w14:solidFill>
                    <w14:schemeClr w14:val="tx1"/>
                  </w14:solidFill>
                </w14:textFill>
              </w:rPr>
              <w:t>工作单位</w:t>
            </w:r>
          </w:p>
        </w:tc>
        <w:tc>
          <w:tcPr>
            <w:tcW w:w="2513" w:type="dxa"/>
          </w:tcPr>
          <w:p w14:paraId="2AECBF49">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30"/>
                <w:szCs w:val="30"/>
                <w:vertAlign w:val="baseline"/>
                <w:lang w:val="en-US" w:eastAsia="zh-CN"/>
                <w14:textFill>
                  <w14:solidFill>
                    <w14:schemeClr w14:val="tx1"/>
                  </w14:solidFill>
                </w14:textFill>
              </w:rPr>
            </w:pPr>
            <w:r>
              <w:rPr>
                <w:rFonts w:hint="eastAsia" w:eastAsia="方正仿宋简体" w:cs="Times New Roman"/>
                <w:color w:val="000000" w:themeColor="text1"/>
                <w:sz w:val="30"/>
                <w:szCs w:val="30"/>
                <w:vertAlign w:val="baseline"/>
                <w:lang w:val="en-US" w:eastAsia="zh-CN"/>
                <w14:textFill>
                  <w14:solidFill>
                    <w14:schemeClr w14:val="tx1"/>
                  </w14:solidFill>
                </w14:textFill>
              </w:rPr>
              <w:t>任务分工</w:t>
            </w:r>
          </w:p>
        </w:tc>
      </w:tr>
      <w:tr w14:paraId="5D49B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14:paraId="615428AF">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王建霞</w:t>
            </w:r>
          </w:p>
        </w:tc>
        <w:tc>
          <w:tcPr>
            <w:tcW w:w="885" w:type="dxa"/>
            <w:vAlign w:val="center"/>
          </w:tcPr>
          <w:p w14:paraId="058B9C49">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男</w:t>
            </w:r>
          </w:p>
        </w:tc>
        <w:tc>
          <w:tcPr>
            <w:tcW w:w="1560" w:type="dxa"/>
            <w:vAlign w:val="center"/>
          </w:tcPr>
          <w:p w14:paraId="207366FF">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副部长/</w:t>
            </w:r>
          </w:p>
          <w:p w14:paraId="4209D95B">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default" w:eastAsia="方正仿宋简体" w:cs="Times New Roman"/>
                <w:color w:val="000000" w:themeColor="text1"/>
                <w:sz w:val="24"/>
                <w:szCs w:val="24"/>
                <w:vertAlign w:val="baseline"/>
                <w:lang w:val="en-US" w:eastAsia="zh-CN"/>
                <w14:textFill>
                  <w14:solidFill>
                    <w14:schemeClr w14:val="tx1"/>
                  </w14:solidFill>
                </w14:textFill>
              </w:rPr>
              <w:t>高级工程师</w:t>
            </w:r>
          </w:p>
        </w:tc>
        <w:tc>
          <w:tcPr>
            <w:tcW w:w="2580" w:type="dxa"/>
            <w:vAlign w:val="center"/>
          </w:tcPr>
          <w:p w14:paraId="455F5213">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江西省交通投资集团运营管理部</w:t>
            </w:r>
          </w:p>
        </w:tc>
        <w:tc>
          <w:tcPr>
            <w:tcW w:w="2513" w:type="dxa"/>
            <w:vAlign w:val="center"/>
          </w:tcPr>
          <w:p w14:paraId="4CEAACD4">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总体负责，具体负责标准的起草</w:t>
            </w:r>
          </w:p>
        </w:tc>
      </w:tr>
      <w:tr w14:paraId="3DE82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shd w:val="clear" w:color="auto" w:fill="auto"/>
            <w:vAlign w:val="center"/>
          </w:tcPr>
          <w:p w14:paraId="20F17FF6">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ascii="Times New Roman" w:hAnsi="Times New Roman" w:eastAsia="方正仿宋简体" w:cs="Times New Roman"/>
                <w:color w:val="000000" w:themeColor="text1"/>
                <w:kern w:val="2"/>
                <w:sz w:val="24"/>
                <w:szCs w:val="24"/>
                <w:vertAlign w:val="baseline"/>
                <w:lang w:val="en-US" w:eastAsia="zh-CN" w:bidi="ar-SA"/>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刘连江</w:t>
            </w:r>
          </w:p>
        </w:tc>
        <w:tc>
          <w:tcPr>
            <w:tcW w:w="885" w:type="dxa"/>
            <w:shd w:val="clear" w:color="auto" w:fill="auto"/>
            <w:vAlign w:val="center"/>
          </w:tcPr>
          <w:p w14:paraId="6C18A079">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ascii="Times New Roman" w:hAnsi="Times New Roman" w:eastAsia="方正仿宋简体" w:cs="Times New Roman"/>
                <w:color w:val="000000" w:themeColor="text1"/>
                <w:kern w:val="2"/>
                <w:sz w:val="24"/>
                <w:szCs w:val="24"/>
                <w:vertAlign w:val="baseline"/>
                <w:lang w:val="en-US" w:eastAsia="zh-CN" w:bidi="ar-SA"/>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男</w:t>
            </w:r>
          </w:p>
        </w:tc>
        <w:tc>
          <w:tcPr>
            <w:tcW w:w="1560" w:type="dxa"/>
            <w:shd w:val="clear" w:color="auto" w:fill="auto"/>
            <w:vAlign w:val="center"/>
          </w:tcPr>
          <w:p w14:paraId="1224F932">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副总经理/</w:t>
            </w:r>
          </w:p>
          <w:p w14:paraId="78902DF0">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ascii="Times New Roman" w:hAnsi="Times New Roman" w:eastAsia="方正仿宋简体" w:cs="Times New Roman"/>
                <w:color w:val="000000" w:themeColor="text1"/>
                <w:kern w:val="2"/>
                <w:sz w:val="24"/>
                <w:szCs w:val="24"/>
                <w:vertAlign w:val="baseline"/>
                <w:lang w:val="en-US" w:eastAsia="zh-CN" w:bidi="ar-SA"/>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工程师</w:t>
            </w:r>
          </w:p>
        </w:tc>
        <w:tc>
          <w:tcPr>
            <w:tcW w:w="2580" w:type="dxa"/>
            <w:shd w:val="clear" w:color="auto" w:fill="auto"/>
            <w:vAlign w:val="center"/>
          </w:tcPr>
          <w:p w14:paraId="1E5B349D">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ascii="Times New Roman" w:hAnsi="Times New Roman" w:eastAsia="方正仿宋简体" w:cs="Times New Roman"/>
                <w:color w:val="000000" w:themeColor="text1"/>
                <w:kern w:val="2"/>
                <w:sz w:val="24"/>
                <w:szCs w:val="24"/>
                <w:vertAlign w:val="baseline"/>
                <w:lang w:val="en-US" w:eastAsia="zh-CN" w:bidi="ar-SA"/>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江西省交通投资集团吉安西管理中心</w:t>
            </w:r>
          </w:p>
        </w:tc>
        <w:tc>
          <w:tcPr>
            <w:tcW w:w="2513" w:type="dxa"/>
            <w:vAlign w:val="center"/>
          </w:tcPr>
          <w:p w14:paraId="19F88B83">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负责标准的修审</w:t>
            </w:r>
          </w:p>
        </w:tc>
      </w:tr>
      <w:tr w14:paraId="2B0C1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14:paraId="6B3C9CAA">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程磊</w:t>
            </w:r>
          </w:p>
        </w:tc>
        <w:tc>
          <w:tcPr>
            <w:tcW w:w="885" w:type="dxa"/>
            <w:vAlign w:val="center"/>
          </w:tcPr>
          <w:p w14:paraId="3A814506">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男</w:t>
            </w:r>
          </w:p>
        </w:tc>
        <w:tc>
          <w:tcPr>
            <w:tcW w:w="1560" w:type="dxa"/>
            <w:vAlign w:val="center"/>
          </w:tcPr>
          <w:p w14:paraId="52F41D50">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副总经理/</w:t>
            </w:r>
          </w:p>
          <w:p w14:paraId="79F72F37">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经济师</w:t>
            </w:r>
          </w:p>
        </w:tc>
        <w:tc>
          <w:tcPr>
            <w:tcW w:w="2580" w:type="dxa"/>
            <w:vAlign w:val="center"/>
          </w:tcPr>
          <w:p w14:paraId="6BA92716">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江西省交通投资集团景德镇管理中心</w:t>
            </w:r>
          </w:p>
        </w:tc>
        <w:tc>
          <w:tcPr>
            <w:tcW w:w="2513" w:type="dxa"/>
            <w:vAlign w:val="center"/>
          </w:tcPr>
          <w:p w14:paraId="12A3C2F3">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负责标准的核稿</w:t>
            </w:r>
          </w:p>
        </w:tc>
      </w:tr>
      <w:tr w14:paraId="6AABE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984" w:type="dxa"/>
            <w:shd w:val="clear" w:color="auto" w:fill="auto"/>
            <w:vAlign w:val="center"/>
          </w:tcPr>
          <w:p w14:paraId="0C075E60">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欧阳</w:t>
            </w:r>
          </w:p>
          <w:p w14:paraId="084FA1E6">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eastAsia" w:ascii="Times New Roman" w:hAnsi="Times New Roman" w:eastAsia="方正仿宋简体" w:cs="Times New Roman"/>
                <w:color w:val="000000" w:themeColor="text1"/>
                <w:kern w:val="2"/>
                <w:sz w:val="24"/>
                <w:szCs w:val="24"/>
                <w:vertAlign w:val="baseline"/>
                <w:lang w:val="en-US" w:eastAsia="zh-CN" w:bidi="ar-SA"/>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新峰</w:t>
            </w:r>
          </w:p>
        </w:tc>
        <w:tc>
          <w:tcPr>
            <w:tcW w:w="885" w:type="dxa"/>
            <w:shd w:val="clear" w:color="auto" w:fill="auto"/>
            <w:vAlign w:val="center"/>
          </w:tcPr>
          <w:p w14:paraId="23E65E15">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eastAsia" w:ascii="Times New Roman" w:hAnsi="Times New Roman" w:eastAsia="方正仿宋简体" w:cs="Times New Roman"/>
                <w:color w:val="000000" w:themeColor="text1"/>
                <w:kern w:val="2"/>
                <w:sz w:val="24"/>
                <w:szCs w:val="24"/>
                <w:vertAlign w:val="baseline"/>
                <w:lang w:val="en-US" w:eastAsia="zh-CN" w:bidi="ar-SA"/>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男</w:t>
            </w:r>
          </w:p>
        </w:tc>
        <w:tc>
          <w:tcPr>
            <w:tcW w:w="1560" w:type="dxa"/>
            <w:shd w:val="clear" w:color="auto" w:fill="auto"/>
            <w:vAlign w:val="center"/>
          </w:tcPr>
          <w:p w14:paraId="0DE189A5">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default" w:eastAsia="方正仿宋简体" w:cs="Times New Roman"/>
                <w:color w:val="000000" w:themeColor="text1"/>
                <w:sz w:val="24"/>
                <w:szCs w:val="24"/>
                <w:vertAlign w:val="baseline"/>
                <w:lang w:val="en-US" w:eastAsia="zh-CN"/>
                <w14:textFill>
                  <w14:solidFill>
                    <w14:schemeClr w14:val="tx1"/>
                  </w14:solidFill>
                </w14:textFill>
              </w:rPr>
              <w:t>高级</w:t>
            </w:r>
          </w:p>
          <w:p w14:paraId="7159C965">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ascii="Times New Roman" w:hAnsi="Times New Roman" w:eastAsia="方正仿宋简体" w:cs="Times New Roman"/>
                <w:color w:val="000000" w:themeColor="text1"/>
                <w:kern w:val="2"/>
                <w:sz w:val="24"/>
                <w:szCs w:val="24"/>
                <w:vertAlign w:val="baseline"/>
                <w:lang w:val="en-US" w:eastAsia="zh-CN" w:bidi="ar-SA"/>
                <w14:textFill>
                  <w14:solidFill>
                    <w14:schemeClr w14:val="tx1"/>
                  </w14:solidFill>
                </w14:textFill>
              </w:rPr>
            </w:pPr>
            <w:r>
              <w:rPr>
                <w:rFonts w:hint="default" w:eastAsia="方正仿宋简体" w:cs="Times New Roman"/>
                <w:color w:val="000000" w:themeColor="text1"/>
                <w:sz w:val="24"/>
                <w:szCs w:val="24"/>
                <w:vertAlign w:val="baseline"/>
                <w:lang w:val="en-US" w:eastAsia="zh-CN"/>
                <w14:textFill>
                  <w14:solidFill>
                    <w14:schemeClr w14:val="tx1"/>
                  </w14:solidFill>
                </w14:textFill>
              </w:rPr>
              <w:t>工程师</w:t>
            </w:r>
          </w:p>
        </w:tc>
        <w:tc>
          <w:tcPr>
            <w:tcW w:w="2580" w:type="dxa"/>
            <w:shd w:val="clear" w:color="auto" w:fill="auto"/>
            <w:vAlign w:val="center"/>
          </w:tcPr>
          <w:p w14:paraId="6C0F0376">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eastAsia" w:ascii="Times New Roman" w:hAnsi="Times New Roman" w:eastAsia="方正仿宋简体" w:cs="Times New Roman"/>
                <w:color w:val="000000" w:themeColor="text1"/>
                <w:kern w:val="2"/>
                <w:sz w:val="24"/>
                <w:szCs w:val="24"/>
                <w:vertAlign w:val="baseline"/>
                <w:lang w:val="en-US" w:eastAsia="zh-CN" w:bidi="ar-SA"/>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江西省交通投资集团运营管理部</w:t>
            </w:r>
          </w:p>
        </w:tc>
        <w:tc>
          <w:tcPr>
            <w:tcW w:w="2513" w:type="dxa"/>
            <w:vAlign w:val="center"/>
          </w:tcPr>
          <w:p w14:paraId="2D593D33">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负责第一至第三章节编写工作</w:t>
            </w:r>
          </w:p>
        </w:tc>
      </w:tr>
      <w:tr w14:paraId="4FC42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984" w:type="dxa"/>
            <w:shd w:val="clear" w:color="auto" w:fill="auto"/>
            <w:vAlign w:val="center"/>
          </w:tcPr>
          <w:p w14:paraId="79073CF1">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ascii="Times New Roman" w:hAnsi="Times New Roman" w:eastAsia="方正仿宋简体" w:cs="Times New Roman"/>
                <w:color w:val="000000" w:themeColor="text1"/>
                <w:kern w:val="2"/>
                <w:sz w:val="24"/>
                <w:szCs w:val="24"/>
                <w:vertAlign w:val="baseline"/>
                <w:lang w:val="en-US" w:eastAsia="zh-CN" w:bidi="ar-SA"/>
                <w14:textFill>
                  <w14:solidFill>
                    <w14:schemeClr w14:val="tx1"/>
                  </w14:solidFill>
                </w14:textFill>
              </w:rPr>
            </w:pPr>
            <w:r>
              <w:rPr>
                <w:rFonts w:hint="eastAsia" w:eastAsia="方正仿宋简体" w:cs="Times New Roman"/>
                <w:color w:val="000000" w:themeColor="text1"/>
                <w:kern w:val="2"/>
                <w:sz w:val="24"/>
                <w:szCs w:val="24"/>
                <w:vertAlign w:val="baseline"/>
                <w:lang w:val="en-US" w:eastAsia="zh-CN" w:bidi="ar-SA"/>
                <w14:textFill>
                  <w14:solidFill>
                    <w14:schemeClr w14:val="tx1"/>
                  </w14:solidFill>
                </w14:textFill>
              </w:rPr>
              <w:t>万清</w:t>
            </w:r>
          </w:p>
        </w:tc>
        <w:tc>
          <w:tcPr>
            <w:tcW w:w="885" w:type="dxa"/>
            <w:shd w:val="clear" w:color="auto" w:fill="auto"/>
            <w:vAlign w:val="center"/>
          </w:tcPr>
          <w:p w14:paraId="6877C743">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ascii="Times New Roman" w:hAnsi="Times New Roman" w:eastAsia="方正仿宋简体" w:cs="Times New Roman"/>
                <w:color w:val="000000" w:themeColor="text1"/>
                <w:kern w:val="2"/>
                <w:sz w:val="24"/>
                <w:szCs w:val="24"/>
                <w:vertAlign w:val="baseline"/>
                <w:lang w:val="en-US" w:eastAsia="zh-CN" w:bidi="ar-SA"/>
                <w14:textFill>
                  <w14:solidFill>
                    <w14:schemeClr w14:val="tx1"/>
                  </w14:solidFill>
                </w14:textFill>
              </w:rPr>
            </w:pPr>
            <w:r>
              <w:rPr>
                <w:rFonts w:hint="eastAsia" w:eastAsia="方正仿宋简体" w:cs="Times New Roman"/>
                <w:color w:val="000000" w:themeColor="text1"/>
                <w:kern w:val="2"/>
                <w:sz w:val="24"/>
                <w:szCs w:val="24"/>
                <w:vertAlign w:val="baseline"/>
                <w:lang w:val="en-US" w:eastAsia="zh-CN" w:bidi="ar-SA"/>
                <w14:textFill>
                  <w14:solidFill>
                    <w14:schemeClr w14:val="tx1"/>
                  </w14:solidFill>
                </w14:textFill>
              </w:rPr>
              <w:t>男</w:t>
            </w:r>
          </w:p>
        </w:tc>
        <w:tc>
          <w:tcPr>
            <w:tcW w:w="1560" w:type="dxa"/>
            <w:shd w:val="clear" w:color="auto" w:fill="auto"/>
            <w:vAlign w:val="center"/>
          </w:tcPr>
          <w:p w14:paraId="2439BE4D">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ascii="Times New Roman" w:hAnsi="Times New Roman" w:eastAsia="方正仿宋简体" w:cs="Times New Roman"/>
                <w:color w:val="000000" w:themeColor="text1"/>
                <w:kern w:val="2"/>
                <w:sz w:val="24"/>
                <w:szCs w:val="24"/>
                <w:vertAlign w:val="baseline"/>
                <w:lang w:val="en-US" w:eastAsia="zh-CN" w:bidi="ar-SA"/>
                <w14:textFill>
                  <w14:solidFill>
                    <w14:schemeClr w14:val="tx1"/>
                  </w14:solidFill>
                </w14:textFill>
              </w:rPr>
            </w:pPr>
            <w:r>
              <w:rPr>
                <w:rFonts w:hint="eastAsia" w:eastAsia="方正仿宋简体" w:cs="Times New Roman"/>
                <w:color w:val="000000" w:themeColor="text1"/>
                <w:kern w:val="2"/>
                <w:sz w:val="24"/>
                <w:szCs w:val="24"/>
                <w:vertAlign w:val="baseline"/>
                <w:lang w:val="en-US" w:eastAsia="zh-CN" w:bidi="ar-SA"/>
                <w14:textFill>
                  <w14:solidFill>
                    <w14:schemeClr w14:val="tx1"/>
                  </w14:solidFill>
                </w14:textFill>
              </w:rPr>
              <w:t>经理</w:t>
            </w:r>
          </w:p>
        </w:tc>
        <w:tc>
          <w:tcPr>
            <w:tcW w:w="2580" w:type="dxa"/>
            <w:shd w:val="clear" w:color="auto" w:fill="auto"/>
            <w:vAlign w:val="center"/>
          </w:tcPr>
          <w:p w14:paraId="3F896984">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江西省交通投资集团路网运营公司</w:t>
            </w:r>
          </w:p>
          <w:p w14:paraId="4FC1C344">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ascii="Times New Roman" w:hAnsi="Times New Roman" w:eastAsia="方正仿宋简体" w:cs="Times New Roman"/>
                <w:color w:val="000000" w:themeColor="text1"/>
                <w:kern w:val="2"/>
                <w:sz w:val="24"/>
                <w:szCs w:val="24"/>
                <w:vertAlign w:val="baseline"/>
                <w:lang w:val="en-US" w:eastAsia="zh-CN" w:bidi="ar-SA"/>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收费管理部</w:t>
            </w:r>
          </w:p>
        </w:tc>
        <w:tc>
          <w:tcPr>
            <w:tcW w:w="2513" w:type="dxa"/>
            <w:vAlign w:val="center"/>
          </w:tcPr>
          <w:p w14:paraId="61C2B061">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负责第四章节</w:t>
            </w:r>
          </w:p>
          <w:p w14:paraId="1F45380A">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编写工作</w:t>
            </w:r>
          </w:p>
        </w:tc>
      </w:tr>
      <w:tr w14:paraId="03E67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14:paraId="68E47AE0">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default" w:eastAsia="方正仿宋简体" w:cs="Times New Roman"/>
                <w:color w:val="000000" w:themeColor="text1"/>
                <w:sz w:val="24"/>
                <w:szCs w:val="24"/>
                <w:vertAlign w:val="baseline"/>
                <w:lang w:val="en-US" w:eastAsia="zh-CN"/>
                <w14:textFill>
                  <w14:solidFill>
                    <w14:schemeClr w14:val="tx1"/>
                  </w14:solidFill>
                </w14:textFill>
              </w:rPr>
              <w:t>明长春</w:t>
            </w:r>
          </w:p>
        </w:tc>
        <w:tc>
          <w:tcPr>
            <w:tcW w:w="885" w:type="dxa"/>
            <w:vAlign w:val="center"/>
          </w:tcPr>
          <w:p w14:paraId="3760A47D">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男</w:t>
            </w:r>
          </w:p>
        </w:tc>
        <w:tc>
          <w:tcPr>
            <w:tcW w:w="1560" w:type="dxa"/>
            <w:vAlign w:val="center"/>
          </w:tcPr>
          <w:p w14:paraId="6DF9F64D">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经理/高级</w:t>
            </w:r>
          </w:p>
          <w:p w14:paraId="2EF2C40B">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经济师</w:t>
            </w:r>
          </w:p>
        </w:tc>
        <w:tc>
          <w:tcPr>
            <w:tcW w:w="2580" w:type="dxa"/>
            <w:vAlign w:val="center"/>
          </w:tcPr>
          <w:p w14:paraId="3BA0C9ED">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江西省交通投资集团吉安西管理中心</w:t>
            </w:r>
          </w:p>
          <w:p w14:paraId="60459BC5">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人力资源部</w:t>
            </w:r>
          </w:p>
        </w:tc>
        <w:tc>
          <w:tcPr>
            <w:tcW w:w="2513" w:type="dxa"/>
            <w:vAlign w:val="center"/>
          </w:tcPr>
          <w:p w14:paraId="4DCD0F51">
            <w:pPr>
              <w:keepNext w:val="0"/>
              <w:keepLines w:val="0"/>
              <w:pageBreakBefore w:val="0"/>
              <w:widowControl w:val="0"/>
              <w:kinsoku/>
              <w:wordWrap/>
              <w:overflowPunct/>
              <w:topLinePunct w:val="0"/>
              <w:autoSpaceDE/>
              <w:autoSpaceDN/>
              <w:bidi w:val="0"/>
              <w:adjustRightInd/>
              <w:snapToGrid/>
              <w:spacing w:before="0" w:beforeLines="0" w:after="0" w:afterLines="0" w:line="34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负责第五章节</w:t>
            </w:r>
          </w:p>
          <w:p w14:paraId="149A0ECD">
            <w:pPr>
              <w:keepNext w:val="0"/>
              <w:keepLines w:val="0"/>
              <w:pageBreakBefore w:val="0"/>
              <w:widowControl w:val="0"/>
              <w:kinsoku/>
              <w:wordWrap/>
              <w:overflowPunct/>
              <w:topLinePunct w:val="0"/>
              <w:autoSpaceDE/>
              <w:autoSpaceDN/>
              <w:bidi w:val="0"/>
              <w:adjustRightInd/>
              <w:snapToGrid/>
              <w:spacing w:before="0" w:beforeLines="0" w:after="0" w:afterLines="0" w:line="34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编写工作</w:t>
            </w:r>
          </w:p>
        </w:tc>
      </w:tr>
      <w:tr w14:paraId="443B4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14:paraId="6B274BD0">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罗卫民</w:t>
            </w:r>
          </w:p>
        </w:tc>
        <w:tc>
          <w:tcPr>
            <w:tcW w:w="885" w:type="dxa"/>
            <w:vAlign w:val="center"/>
          </w:tcPr>
          <w:p w14:paraId="5273E30D">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男</w:t>
            </w:r>
          </w:p>
        </w:tc>
        <w:tc>
          <w:tcPr>
            <w:tcW w:w="1560" w:type="dxa"/>
            <w:vAlign w:val="center"/>
          </w:tcPr>
          <w:p w14:paraId="07CD1E28">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主任/</w:t>
            </w:r>
          </w:p>
          <w:p w14:paraId="281A3ECF">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工程师</w:t>
            </w:r>
          </w:p>
        </w:tc>
        <w:tc>
          <w:tcPr>
            <w:tcW w:w="2580" w:type="dxa"/>
            <w:vAlign w:val="center"/>
          </w:tcPr>
          <w:p w14:paraId="2AD6F337">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江西省交通投资集团吉安西管理中心信息分中心</w:t>
            </w:r>
          </w:p>
        </w:tc>
        <w:tc>
          <w:tcPr>
            <w:tcW w:w="2513" w:type="dxa"/>
            <w:vAlign w:val="center"/>
          </w:tcPr>
          <w:p w14:paraId="0799D342">
            <w:pPr>
              <w:keepNext w:val="0"/>
              <w:keepLines w:val="0"/>
              <w:pageBreakBefore w:val="0"/>
              <w:widowControl w:val="0"/>
              <w:kinsoku/>
              <w:wordWrap/>
              <w:overflowPunct/>
              <w:topLinePunct w:val="0"/>
              <w:autoSpaceDE/>
              <w:autoSpaceDN/>
              <w:bidi w:val="0"/>
              <w:adjustRightInd/>
              <w:snapToGrid/>
              <w:spacing w:before="0" w:beforeLines="0" w:after="0" w:afterLines="0" w:line="34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负责第六章节中机电</w:t>
            </w:r>
          </w:p>
          <w:p w14:paraId="3B66522A">
            <w:pPr>
              <w:keepNext w:val="0"/>
              <w:keepLines w:val="0"/>
              <w:pageBreakBefore w:val="0"/>
              <w:widowControl w:val="0"/>
              <w:kinsoku/>
              <w:wordWrap/>
              <w:overflowPunct/>
              <w:topLinePunct w:val="0"/>
              <w:autoSpaceDE/>
              <w:autoSpaceDN/>
              <w:bidi w:val="0"/>
              <w:adjustRightInd/>
              <w:snapToGrid/>
              <w:spacing w:before="0" w:beforeLines="0" w:after="0" w:afterLines="0" w:line="34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运维、交易准确率、ETC有效通过率的</w:t>
            </w:r>
          </w:p>
          <w:p w14:paraId="4D2108FE">
            <w:pPr>
              <w:keepNext w:val="0"/>
              <w:keepLines w:val="0"/>
              <w:pageBreakBefore w:val="0"/>
              <w:widowControl w:val="0"/>
              <w:kinsoku/>
              <w:wordWrap/>
              <w:overflowPunct/>
              <w:topLinePunct w:val="0"/>
              <w:autoSpaceDE/>
              <w:autoSpaceDN/>
              <w:bidi w:val="0"/>
              <w:adjustRightInd/>
              <w:snapToGrid/>
              <w:spacing w:before="0" w:beforeLines="0" w:after="0" w:afterLines="0" w:line="34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编写工作</w:t>
            </w:r>
          </w:p>
        </w:tc>
      </w:tr>
      <w:tr w14:paraId="25030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14:paraId="23246939">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陈勋明</w:t>
            </w:r>
          </w:p>
        </w:tc>
        <w:tc>
          <w:tcPr>
            <w:tcW w:w="885" w:type="dxa"/>
            <w:vAlign w:val="center"/>
          </w:tcPr>
          <w:p w14:paraId="780C2394">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男</w:t>
            </w:r>
          </w:p>
        </w:tc>
        <w:tc>
          <w:tcPr>
            <w:tcW w:w="1560" w:type="dxa"/>
            <w:vAlign w:val="center"/>
          </w:tcPr>
          <w:p w14:paraId="17993942">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副经理</w:t>
            </w:r>
          </w:p>
        </w:tc>
        <w:tc>
          <w:tcPr>
            <w:tcW w:w="2580" w:type="dxa"/>
            <w:vAlign w:val="center"/>
          </w:tcPr>
          <w:p w14:paraId="1FB453C8">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江西省交通投资集团吉安西管理中心</w:t>
            </w:r>
          </w:p>
          <w:p w14:paraId="2B987A2D">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收费管理部</w:t>
            </w:r>
          </w:p>
        </w:tc>
        <w:tc>
          <w:tcPr>
            <w:tcW w:w="2513" w:type="dxa"/>
            <w:vAlign w:val="center"/>
          </w:tcPr>
          <w:p w14:paraId="68CD0DFF">
            <w:pPr>
              <w:keepNext w:val="0"/>
              <w:keepLines w:val="0"/>
              <w:pageBreakBefore w:val="0"/>
              <w:widowControl w:val="0"/>
              <w:kinsoku/>
              <w:wordWrap/>
              <w:overflowPunct/>
              <w:topLinePunct w:val="0"/>
              <w:autoSpaceDE/>
              <w:autoSpaceDN/>
              <w:bidi w:val="0"/>
              <w:adjustRightInd/>
              <w:snapToGrid/>
              <w:spacing w:before="0" w:beforeLines="0" w:after="0" w:afterLines="0" w:line="34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负责第六章节中内部管理、远程管理、现金收费、应急保畅的</w:t>
            </w:r>
          </w:p>
          <w:p w14:paraId="163DA27E">
            <w:pPr>
              <w:keepNext w:val="0"/>
              <w:keepLines w:val="0"/>
              <w:pageBreakBefore w:val="0"/>
              <w:widowControl w:val="0"/>
              <w:kinsoku/>
              <w:wordWrap/>
              <w:overflowPunct/>
              <w:topLinePunct w:val="0"/>
              <w:autoSpaceDE/>
              <w:autoSpaceDN/>
              <w:bidi w:val="0"/>
              <w:adjustRightInd/>
              <w:snapToGrid/>
              <w:spacing w:before="0" w:beforeLines="0" w:after="0" w:afterLines="0" w:line="34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编写工作</w:t>
            </w:r>
          </w:p>
        </w:tc>
      </w:tr>
      <w:tr w14:paraId="305C4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984" w:type="dxa"/>
            <w:vAlign w:val="center"/>
          </w:tcPr>
          <w:p w14:paraId="6FABCA43">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戴程</w:t>
            </w:r>
          </w:p>
        </w:tc>
        <w:tc>
          <w:tcPr>
            <w:tcW w:w="885" w:type="dxa"/>
            <w:vAlign w:val="center"/>
          </w:tcPr>
          <w:p w14:paraId="124D3340">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男</w:t>
            </w:r>
          </w:p>
        </w:tc>
        <w:tc>
          <w:tcPr>
            <w:tcW w:w="1560" w:type="dxa"/>
            <w:vAlign w:val="center"/>
          </w:tcPr>
          <w:p w14:paraId="72645743">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副经理</w:t>
            </w:r>
          </w:p>
        </w:tc>
        <w:tc>
          <w:tcPr>
            <w:tcW w:w="2580" w:type="dxa"/>
            <w:vAlign w:val="center"/>
          </w:tcPr>
          <w:p w14:paraId="5A784321">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江西省交通投资集团路网运营公司</w:t>
            </w:r>
          </w:p>
          <w:p w14:paraId="49AF097B">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收费管理部</w:t>
            </w:r>
          </w:p>
        </w:tc>
        <w:tc>
          <w:tcPr>
            <w:tcW w:w="2513" w:type="dxa"/>
            <w:vAlign w:val="center"/>
          </w:tcPr>
          <w:p w14:paraId="0B9ED3EB">
            <w:pPr>
              <w:keepNext w:val="0"/>
              <w:keepLines w:val="0"/>
              <w:pageBreakBefore w:val="0"/>
              <w:widowControl w:val="0"/>
              <w:kinsoku/>
              <w:wordWrap/>
              <w:overflowPunct/>
              <w:topLinePunct w:val="0"/>
              <w:autoSpaceDE/>
              <w:autoSpaceDN/>
              <w:bidi w:val="0"/>
              <w:adjustRightInd/>
              <w:snapToGrid/>
              <w:spacing w:before="0" w:beforeLines="0" w:after="0" w:afterLines="0" w:line="34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负责第六章节中交接班、安全管理的</w:t>
            </w:r>
          </w:p>
          <w:p w14:paraId="27B002D1">
            <w:pPr>
              <w:keepNext w:val="0"/>
              <w:keepLines w:val="0"/>
              <w:pageBreakBefore w:val="0"/>
              <w:widowControl w:val="0"/>
              <w:kinsoku/>
              <w:wordWrap/>
              <w:overflowPunct/>
              <w:topLinePunct w:val="0"/>
              <w:autoSpaceDE/>
              <w:autoSpaceDN/>
              <w:bidi w:val="0"/>
              <w:adjustRightInd/>
              <w:snapToGrid/>
              <w:spacing w:before="0" w:beforeLines="0" w:after="0" w:afterLines="0" w:line="34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编写工作</w:t>
            </w:r>
          </w:p>
        </w:tc>
      </w:tr>
      <w:tr w14:paraId="1A340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14:paraId="13A6BB6B">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吁琨</w:t>
            </w:r>
          </w:p>
        </w:tc>
        <w:tc>
          <w:tcPr>
            <w:tcW w:w="885" w:type="dxa"/>
            <w:vAlign w:val="center"/>
          </w:tcPr>
          <w:p w14:paraId="0238BE3D">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男</w:t>
            </w:r>
          </w:p>
        </w:tc>
        <w:tc>
          <w:tcPr>
            <w:tcW w:w="1560" w:type="dxa"/>
            <w:vAlign w:val="center"/>
          </w:tcPr>
          <w:p w14:paraId="1732DEB4">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副主任/</w:t>
            </w:r>
          </w:p>
          <w:p w14:paraId="4E28AC8F">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工程师</w:t>
            </w:r>
          </w:p>
        </w:tc>
        <w:tc>
          <w:tcPr>
            <w:tcW w:w="2580" w:type="dxa"/>
            <w:vAlign w:val="center"/>
          </w:tcPr>
          <w:p w14:paraId="4EED1545">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江西省交通投资集团吉安西管理中心</w:t>
            </w:r>
          </w:p>
          <w:p w14:paraId="385B86A9">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信息分中心</w:t>
            </w:r>
          </w:p>
        </w:tc>
        <w:tc>
          <w:tcPr>
            <w:tcW w:w="2513" w:type="dxa"/>
            <w:vAlign w:val="center"/>
          </w:tcPr>
          <w:p w14:paraId="15F63204">
            <w:pPr>
              <w:keepNext w:val="0"/>
              <w:keepLines w:val="0"/>
              <w:pageBreakBefore w:val="0"/>
              <w:widowControl w:val="0"/>
              <w:kinsoku/>
              <w:wordWrap/>
              <w:overflowPunct/>
              <w:topLinePunct w:val="0"/>
              <w:autoSpaceDE/>
              <w:autoSpaceDN/>
              <w:bidi w:val="0"/>
              <w:adjustRightInd/>
              <w:snapToGrid/>
              <w:spacing w:before="0" w:beforeLines="0" w:after="0" w:afterLines="0" w:line="34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负责第六章节中收费网络保障、收费系统保障的编写工作</w:t>
            </w:r>
          </w:p>
        </w:tc>
      </w:tr>
      <w:tr w14:paraId="1ECF0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14:paraId="0C0E6B41">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罗建</w:t>
            </w:r>
          </w:p>
        </w:tc>
        <w:tc>
          <w:tcPr>
            <w:tcW w:w="885" w:type="dxa"/>
            <w:vAlign w:val="center"/>
          </w:tcPr>
          <w:p w14:paraId="094A7481">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男</w:t>
            </w:r>
          </w:p>
        </w:tc>
        <w:tc>
          <w:tcPr>
            <w:tcW w:w="1560" w:type="dxa"/>
            <w:vAlign w:val="center"/>
          </w:tcPr>
          <w:p w14:paraId="1F71E9B9">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工程师</w:t>
            </w:r>
          </w:p>
        </w:tc>
        <w:tc>
          <w:tcPr>
            <w:tcW w:w="2580" w:type="dxa"/>
            <w:vAlign w:val="center"/>
          </w:tcPr>
          <w:p w14:paraId="7284DE11">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江西省交通投资集团吉安西管理中心</w:t>
            </w:r>
          </w:p>
          <w:p w14:paraId="0AFCB54C">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信息分中心</w:t>
            </w:r>
          </w:p>
        </w:tc>
        <w:tc>
          <w:tcPr>
            <w:tcW w:w="2513" w:type="dxa"/>
            <w:vAlign w:val="center"/>
          </w:tcPr>
          <w:p w14:paraId="61F9A48E">
            <w:pPr>
              <w:pStyle w:val="9"/>
              <w:keepNext w:val="0"/>
              <w:keepLines w:val="0"/>
              <w:pageBreakBefore w:val="0"/>
              <w:widowControl w:val="0"/>
              <w:numPr>
                <w:ilvl w:val="2"/>
                <w:numId w:val="0"/>
              </w:numPr>
              <w:kinsoku/>
              <w:wordWrap/>
              <w:overflowPunct/>
              <w:topLinePunct w:val="0"/>
              <w:autoSpaceDE/>
              <w:autoSpaceDN/>
              <w:bidi w:val="0"/>
              <w:adjustRightInd/>
              <w:snapToGrid/>
              <w:spacing w:before="0" w:beforeLines="0" w:after="0" w:afterLines="0" w:line="340" w:lineRule="exact"/>
              <w:ind w:leftChars="0"/>
              <w:jc w:val="center"/>
              <w:textAlignment w:val="auto"/>
              <w:rPr>
                <w:rFonts w:hint="eastAsia" w:ascii="Times New Roman" w:hAnsi="Times New Roman" w:eastAsia="方正仿宋简体" w:cs="Times New Roman"/>
                <w:color w:val="000000" w:themeColor="text1"/>
                <w:kern w:val="2"/>
                <w:sz w:val="24"/>
                <w:szCs w:val="24"/>
                <w:vertAlign w:val="baseline"/>
                <w:lang w:val="en-US" w:eastAsia="zh-CN" w:bidi="ar-SA"/>
                <w14:textFill>
                  <w14:solidFill>
                    <w14:schemeClr w14:val="tx1"/>
                  </w14:solidFill>
                </w14:textFill>
              </w:rPr>
            </w:pPr>
            <w:r>
              <w:rPr>
                <w:rFonts w:hint="eastAsia" w:ascii="Times New Roman" w:hAnsi="Times New Roman" w:eastAsia="方正仿宋简体" w:cs="Times New Roman"/>
                <w:color w:val="000000" w:themeColor="text1"/>
                <w:kern w:val="2"/>
                <w:sz w:val="24"/>
                <w:szCs w:val="24"/>
                <w:vertAlign w:val="baseline"/>
                <w:lang w:val="en-US" w:eastAsia="zh-CN" w:bidi="ar-SA"/>
                <w14:textFill>
                  <w14:solidFill>
                    <w14:schemeClr w14:val="tx1"/>
                  </w14:solidFill>
                </w14:textFill>
              </w:rPr>
              <w:t>负责第六章节中车型、车牌有效识别率、收费机电备品备件的</w:t>
            </w:r>
          </w:p>
          <w:p w14:paraId="1EFF7462">
            <w:pPr>
              <w:pStyle w:val="9"/>
              <w:keepNext w:val="0"/>
              <w:keepLines w:val="0"/>
              <w:pageBreakBefore w:val="0"/>
              <w:widowControl w:val="0"/>
              <w:numPr>
                <w:ilvl w:val="2"/>
                <w:numId w:val="0"/>
              </w:numPr>
              <w:kinsoku/>
              <w:wordWrap/>
              <w:overflowPunct/>
              <w:topLinePunct w:val="0"/>
              <w:autoSpaceDE/>
              <w:autoSpaceDN/>
              <w:bidi w:val="0"/>
              <w:adjustRightInd/>
              <w:snapToGrid/>
              <w:spacing w:before="0" w:beforeLines="0" w:after="0" w:afterLines="0" w:line="340" w:lineRule="exact"/>
              <w:ind w:leftChars="0"/>
              <w:jc w:val="center"/>
              <w:textAlignment w:val="auto"/>
              <w:rPr>
                <w:rFonts w:hint="default" w:ascii="Times New Roman" w:hAnsi="Times New Roman" w:eastAsia="方正仿宋简体" w:cs="Times New Roman"/>
                <w:color w:val="000000" w:themeColor="text1"/>
                <w:kern w:val="2"/>
                <w:sz w:val="24"/>
                <w:szCs w:val="24"/>
                <w:vertAlign w:val="baseline"/>
                <w:lang w:val="en-US" w:eastAsia="zh-CN" w:bidi="ar-SA"/>
                <w14:textFill>
                  <w14:solidFill>
                    <w14:schemeClr w14:val="tx1"/>
                  </w14:solidFill>
                </w14:textFill>
              </w:rPr>
            </w:pPr>
            <w:r>
              <w:rPr>
                <w:rFonts w:hint="eastAsia" w:ascii="Times New Roman" w:hAnsi="Times New Roman" w:eastAsia="方正仿宋简体" w:cs="Times New Roman"/>
                <w:color w:val="000000" w:themeColor="text1"/>
                <w:kern w:val="2"/>
                <w:sz w:val="24"/>
                <w:szCs w:val="24"/>
                <w:vertAlign w:val="baseline"/>
                <w:lang w:val="en-US" w:eastAsia="zh-CN" w:bidi="ar-SA"/>
                <w14:textFill>
                  <w14:solidFill>
                    <w14:schemeClr w14:val="tx1"/>
                  </w14:solidFill>
                </w14:textFill>
              </w:rPr>
              <w:t>编写工作</w:t>
            </w:r>
          </w:p>
        </w:tc>
      </w:tr>
      <w:tr w14:paraId="58119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14:paraId="1A27E4EA">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陈冲</w:t>
            </w:r>
          </w:p>
        </w:tc>
        <w:tc>
          <w:tcPr>
            <w:tcW w:w="885" w:type="dxa"/>
            <w:vAlign w:val="center"/>
          </w:tcPr>
          <w:p w14:paraId="4A3B0AA7">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男</w:t>
            </w:r>
          </w:p>
        </w:tc>
        <w:tc>
          <w:tcPr>
            <w:tcW w:w="1560" w:type="dxa"/>
            <w:vAlign w:val="center"/>
          </w:tcPr>
          <w:p w14:paraId="496BB8C3">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副站长</w:t>
            </w:r>
          </w:p>
        </w:tc>
        <w:tc>
          <w:tcPr>
            <w:tcW w:w="2580" w:type="dxa"/>
            <w:vAlign w:val="center"/>
          </w:tcPr>
          <w:p w14:paraId="1A0AFE21">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江西省交通投资集团宜春管理中心</w:t>
            </w:r>
          </w:p>
          <w:p w14:paraId="764EE676">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杉江收费站</w:t>
            </w:r>
          </w:p>
        </w:tc>
        <w:tc>
          <w:tcPr>
            <w:tcW w:w="2513" w:type="dxa"/>
            <w:vAlign w:val="center"/>
          </w:tcPr>
          <w:p w14:paraId="4F2B8916">
            <w:pPr>
              <w:keepNext w:val="0"/>
              <w:keepLines w:val="0"/>
              <w:pageBreakBefore w:val="0"/>
              <w:widowControl w:val="0"/>
              <w:kinsoku/>
              <w:wordWrap/>
              <w:overflowPunct/>
              <w:topLinePunct w:val="0"/>
              <w:autoSpaceDE/>
              <w:autoSpaceDN/>
              <w:bidi w:val="0"/>
              <w:adjustRightInd/>
              <w:snapToGrid/>
              <w:spacing w:before="0" w:beforeLines="0" w:after="0" w:afterLines="0" w:line="340" w:lineRule="exact"/>
              <w:ind w:left="0" w:leftChars="0" w:firstLine="0" w:firstLineChars="0"/>
              <w:jc w:val="center"/>
              <w:textAlignment w:val="auto"/>
              <w:rPr>
                <w:rFonts w:hint="default" w:ascii="Times New Roman" w:hAnsi="Times New Roman" w:eastAsia="方正仿宋简体" w:cs="Times New Roman"/>
                <w:color w:val="000000" w:themeColor="text1"/>
                <w:kern w:val="2"/>
                <w:sz w:val="24"/>
                <w:szCs w:val="24"/>
                <w:vertAlign w:val="baseline"/>
                <w:lang w:val="en-US" w:eastAsia="zh-CN" w:bidi="ar-SA"/>
                <w14:textFill>
                  <w14:solidFill>
                    <w14:schemeClr w14:val="tx1"/>
                  </w14:solidFill>
                </w14:textFill>
              </w:rPr>
            </w:pPr>
            <w:r>
              <w:rPr>
                <w:rFonts w:hint="eastAsia" w:ascii="Times New Roman" w:hAnsi="Times New Roman" w:eastAsia="方正仿宋简体" w:cs="Times New Roman"/>
                <w:color w:val="000000" w:themeColor="text1"/>
                <w:kern w:val="2"/>
                <w:sz w:val="24"/>
                <w:szCs w:val="24"/>
                <w:vertAlign w:val="baseline"/>
                <w:lang w:val="en-US" w:eastAsia="zh-CN" w:bidi="ar-SA"/>
                <w14:textFill>
                  <w14:solidFill>
                    <w14:schemeClr w14:val="tx1"/>
                  </w14:solidFill>
                </w14:textFill>
              </w:rPr>
              <w:t>负责第六章节中CPC卡管理、优免车查验的编写工作</w:t>
            </w:r>
          </w:p>
        </w:tc>
      </w:tr>
      <w:tr w14:paraId="0CF60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Align w:val="center"/>
          </w:tcPr>
          <w:p w14:paraId="6AF6A20A">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谢星星</w:t>
            </w:r>
          </w:p>
        </w:tc>
        <w:tc>
          <w:tcPr>
            <w:tcW w:w="885" w:type="dxa"/>
            <w:vAlign w:val="center"/>
          </w:tcPr>
          <w:p w14:paraId="7347B073">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男</w:t>
            </w:r>
          </w:p>
        </w:tc>
        <w:tc>
          <w:tcPr>
            <w:tcW w:w="1560" w:type="dxa"/>
            <w:vAlign w:val="center"/>
          </w:tcPr>
          <w:p w14:paraId="070890DD">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副站长</w:t>
            </w:r>
          </w:p>
        </w:tc>
        <w:tc>
          <w:tcPr>
            <w:tcW w:w="2580" w:type="dxa"/>
            <w:vAlign w:val="center"/>
          </w:tcPr>
          <w:p w14:paraId="317F7846">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eastAsia"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江西省交通投资集团吉安西管理中心</w:t>
            </w:r>
          </w:p>
          <w:p w14:paraId="4EDA7D11">
            <w:pPr>
              <w:keepNext w:val="0"/>
              <w:keepLines w:val="0"/>
              <w:pageBreakBefore w:val="0"/>
              <w:widowControl w:val="0"/>
              <w:kinsoku/>
              <w:wordWrap/>
              <w:overflowPunct/>
              <w:topLinePunct w:val="0"/>
              <w:autoSpaceDE/>
              <w:autoSpaceDN/>
              <w:bidi w:val="0"/>
              <w:adjustRightInd/>
              <w:snapToGrid/>
              <w:spacing w:before="0" w:beforeLines="0" w:after="0" w:afterLines="0" w:line="360" w:lineRule="exact"/>
              <w:ind w:left="0" w:leftChars="0" w:firstLine="0" w:firstLineChars="0"/>
              <w:jc w:val="center"/>
              <w:textAlignment w:val="auto"/>
              <w:rPr>
                <w:rFonts w:hint="default" w:eastAsia="方正仿宋简体" w:cs="Times New Roman"/>
                <w:color w:val="000000" w:themeColor="text1"/>
                <w:sz w:val="24"/>
                <w:szCs w:val="24"/>
                <w:vertAlign w:val="baseline"/>
                <w:lang w:val="en-US" w:eastAsia="zh-CN"/>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井冈山东收费站</w:t>
            </w:r>
          </w:p>
        </w:tc>
        <w:tc>
          <w:tcPr>
            <w:tcW w:w="2513" w:type="dxa"/>
            <w:vAlign w:val="center"/>
          </w:tcPr>
          <w:p w14:paraId="02C36B32">
            <w:pPr>
              <w:keepNext w:val="0"/>
              <w:keepLines w:val="0"/>
              <w:pageBreakBefore w:val="0"/>
              <w:widowControl w:val="0"/>
              <w:kinsoku/>
              <w:wordWrap/>
              <w:overflowPunct/>
              <w:topLinePunct w:val="0"/>
              <w:autoSpaceDE/>
              <w:autoSpaceDN/>
              <w:bidi w:val="0"/>
              <w:adjustRightInd/>
              <w:snapToGrid/>
              <w:spacing w:before="0" w:beforeLines="0" w:after="0" w:afterLines="0" w:line="340" w:lineRule="exact"/>
              <w:ind w:left="0" w:leftChars="0" w:firstLine="0" w:firstLineChars="0"/>
              <w:jc w:val="center"/>
              <w:textAlignment w:val="auto"/>
              <w:rPr>
                <w:rFonts w:hint="eastAsia" w:ascii="Times New Roman" w:hAnsi="Times New Roman" w:eastAsia="方正仿宋简体" w:cs="Times New Roman"/>
                <w:color w:val="000000" w:themeColor="text1"/>
                <w:kern w:val="2"/>
                <w:sz w:val="24"/>
                <w:szCs w:val="24"/>
                <w:vertAlign w:val="baseline"/>
                <w:lang w:val="en-US" w:eastAsia="zh-CN" w:bidi="ar-SA"/>
                <w14:textFill>
                  <w14:solidFill>
                    <w14:schemeClr w14:val="tx1"/>
                  </w14:solidFill>
                </w14:textFill>
              </w:rPr>
            </w:pPr>
            <w:r>
              <w:rPr>
                <w:rFonts w:hint="eastAsia" w:eastAsia="方正仿宋简体" w:cs="Times New Roman"/>
                <w:color w:val="000000" w:themeColor="text1"/>
                <w:sz w:val="24"/>
                <w:szCs w:val="24"/>
                <w:vertAlign w:val="baseline"/>
                <w:lang w:val="en-US" w:eastAsia="zh-CN"/>
                <w14:textFill>
                  <w14:solidFill>
                    <w14:schemeClr w14:val="tx1"/>
                  </w14:solidFill>
                </w14:textFill>
              </w:rPr>
              <w:t>负责第六章节中</w:t>
            </w:r>
            <w:r>
              <w:rPr>
                <w:rFonts w:hint="eastAsia" w:ascii="Times New Roman" w:hAnsi="Times New Roman" w:eastAsia="方正仿宋简体" w:cs="Times New Roman"/>
                <w:color w:val="000000" w:themeColor="text1"/>
                <w:kern w:val="2"/>
                <w:sz w:val="24"/>
                <w:szCs w:val="24"/>
                <w:vertAlign w:val="baseline"/>
                <w:lang w:val="en-US" w:eastAsia="zh-CN" w:bidi="ar-SA"/>
                <w14:textFill>
                  <w14:solidFill>
                    <w14:schemeClr w14:val="tx1"/>
                  </w14:solidFill>
                </w14:textFill>
              </w:rPr>
              <w:t>稽核</w:t>
            </w:r>
          </w:p>
          <w:p w14:paraId="46AE339F">
            <w:pPr>
              <w:keepNext w:val="0"/>
              <w:keepLines w:val="0"/>
              <w:pageBreakBefore w:val="0"/>
              <w:widowControl w:val="0"/>
              <w:kinsoku/>
              <w:wordWrap/>
              <w:overflowPunct/>
              <w:topLinePunct w:val="0"/>
              <w:autoSpaceDE/>
              <w:autoSpaceDN/>
              <w:bidi w:val="0"/>
              <w:adjustRightInd/>
              <w:snapToGrid/>
              <w:spacing w:before="0" w:beforeLines="0" w:after="0" w:afterLines="0" w:line="340" w:lineRule="exact"/>
              <w:ind w:left="0" w:leftChars="0" w:firstLine="0" w:firstLineChars="0"/>
              <w:jc w:val="center"/>
              <w:textAlignment w:val="auto"/>
              <w:rPr>
                <w:rFonts w:hint="eastAsia" w:ascii="Times New Roman" w:hAnsi="Times New Roman" w:eastAsia="方正仿宋简体" w:cs="Times New Roman"/>
                <w:color w:val="000000" w:themeColor="text1"/>
                <w:kern w:val="2"/>
                <w:sz w:val="24"/>
                <w:szCs w:val="24"/>
                <w:vertAlign w:val="baseline"/>
                <w:lang w:val="en-US" w:eastAsia="zh-CN" w:bidi="ar-SA"/>
                <w14:textFill>
                  <w14:solidFill>
                    <w14:schemeClr w14:val="tx1"/>
                  </w14:solidFill>
                </w14:textFill>
              </w:rPr>
            </w:pPr>
            <w:r>
              <w:rPr>
                <w:rFonts w:hint="eastAsia" w:ascii="Times New Roman" w:hAnsi="Times New Roman" w:eastAsia="方正仿宋简体" w:cs="Times New Roman"/>
                <w:color w:val="000000" w:themeColor="text1"/>
                <w:kern w:val="2"/>
                <w:sz w:val="24"/>
                <w:szCs w:val="24"/>
                <w:vertAlign w:val="baseline"/>
                <w:lang w:val="en-US" w:eastAsia="zh-CN" w:bidi="ar-SA"/>
                <w14:textFill>
                  <w14:solidFill>
                    <w14:schemeClr w14:val="tx1"/>
                  </w14:solidFill>
                </w14:textFill>
              </w:rPr>
              <w:t>业务、</w:t>
            </w:r>
            <w:r>
              <w:rPr>
                <w:rFonts w:hint="eastAsia" w:eastAsia="方正仿宋简体" w:cs="Times New Roman"/>
                <w:color w:val="000000" w:themeColor="text1"/>
                <w:sz w:val="24"/>
                <w:szCs w:val="24"/>
                <w:vertAlign w:val="baseline"/>
                <w:lang w:val="en-US" w:eastAsia="zh-CN"/>
                <w14:textFill>
                  <w14:solidFill>
                    <w14:schemeClr w14:val="tx1"/>
                  </w14:solidFill>
                </w14:textFill>
              </w:rPr>
              <w:t>货车超限检测的编写工作</w:t>
            </w:r>
          </w:p>
        </w:tc>
      </w:tr>
    </w:tbl>
    <w:p w14:paraId="02A2BC7F">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ind w:left="0" w:leftChars="0" w:firstLine="600" w:firstLineChars="200"/>
        <w:textAlignment w:val="auto"/>
        <w:outlineLvl w:val="0"/>
        <w:rPr>
          <w:rFonts w:hint="eastAsia" w:ascii="方正黑体简体" w:hAnsi="方正黑体简体" w:eastAsia="方正黑体简体" w:cs="方正黑体简体"/>
          <w:color w:val="000000"/>
          <w:sz w:val="30"/>
          <w:szCs w:val="30"/>
          <w:lang w:val="en-US" w:eastAsia="zh-CN"/>
        </w:rPr>
      </w:pPr>
      <w:r>
        <w:rPr>
          <w:rFonts w:hint="eastAsia" w:ascii="方正黑体简体" w:hAnsi="方正黑体简体" w:eastAsia="方正黑体简体" w:cs="方正黑体简体"/>
          <w:color w:val="000000"/>
          <w:sz w:val="30"/>
          <w:szCs w:val="30"/>
          <w:lang w:val="en-US" w:eastAsia="zh-CN"/>
        </w:rPr>
        <w:t>二、制定标准的必要性和意义</w:t>
      </w:r>
    </w:p>
    <w:p w14:paraId="7DE62522">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jc w:val="both"/>
        <w:textAlignment w:val="auto"/>
        <w:rPr>
          <w:rFonts w:hint="eastAsia" w:ascii="Times New Roman" w:hAnsi="Times New Roman" w:eastAsia="方正仿宋简体"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简体" w:cs="Times New Roman"/>
          <w:color w:val="000000" w:themeColor="text1"/>
          <w:sz w:val="32"/>
          <w:szCs w:val="32"/>
          <w:lang w:val="en-US" w:eastAsia="zh-CN"/>
          <w14:textFill>
            <w14:solidFill>
              <w14:schemeClr w14:val="tx1"/>
            </w14:solidFill>
          </w14:textFill>
        </w:rPr>
        <w:t>自1988年第一条高速公路建成通车以来，我国高速公路网络持续快速发展，截至2023年底，我国高速公路网联网总里程已超过18万公里，覆盖了约99%的城区人口、20万以上城市及地级行政中心，连接了全国约88%的县级行政区和约95%的人口。在“交通强国”的战略背景下，自全面取消高速公路省界收费站、实现“高速一张网”运行后，传统收费站已经难以满足日益增长的交通流量和高效通行的需求，我国高速公路正在向智慧高速公路发展，智慧收费站通过引入先进的信息技术和自动化设备，显著提升通行效率和服务质量，满足公众对高速公路便捷通行的期待。然而目前省内外的智慧收费站，存在功能布局不一致、工作职责与内容划分不一致、业务处置流程不一致等情况，与满足人民群众对美好出行需求的向往有很大差距，严重影响司乘人员的出行体验，不利于智慧收费站的高质量发展，因此，制定《高速公路智慧收费站运营规范》，有利于提高收费站通行效率和运营水平，提升司乘人员的出行体验，优化江西省营商环境，为推动交通强省战略强基固本。</w:t>
      </w:r>
    </w:p>
    <w:p w14:paraId="42F642D2">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jc w:val="both"/>
        <w:textAlignment w:val="auto"/>
        <w:rPr>
          <w:rFonts w:hint="eastAsia" w:ascii="Times New Roman" w:hAnsi="Times New Roman" w:eastAsia="方正仿宋简体"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简体" w:cs="Times New Roman"/>
          <w:color w:val="000000" w:themeColor="text1"/>
          <w:sz w:val="32"/>
          <w:szCs w:val="32"/>
          <w:lang w:val="en-US" w:eastAsia="zh-CN"/>
          <w14:textFill>
            <w14:solidFill>
              <w14:schemeClr w14:val="tx1"/>
            </w14:solidFill>
          </w14:textFill>
        </w:rPr>
        <w:t>本标准通过规范智慧收费站的功能布局、岗位设置与工作内容、管理要求与业务操作等，对智慧收费站进行硬件配置标准统一、硬件布局标准统一、业务处置标准统一、岗位设置统一、工作内容统一，为省内外在用、在建及改建智慧收费站运营管理提供可借鉴、可参考的依据，推动我省高速公路提升智能化管理水平及智慧化服务水平。</w:t>
      </w:r>
    </w:p>
    <w:p w14:paraId="594FE0F7">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jc w:val="both"/>
        <w:textAlignment w:val="auto"/>
        <w:rPr>
          <w:rFonts w:hint="eastAsia" w:ascii="Times New Roman" w:hAnsi="Times New Roman" w:eastAsia="方正仿宋简体"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简体" w:cs="Times New Roman"/>
          <w:color w:val="000000" w:themeColor="text1"/>
          <w:sz w:val="32"/>
          <w:szCs w:val="32"/>
          <w:lang w:val="en-US" w:eastAsia="zh-CN"/>
          <w14:textFill>
            <w14:solidFill>
              <w14:schemeClr w14:val="tx1"/>
            </w14:solidFill>
          </w14:textFill>
        </w:rPr>
        <w:t>硬件技术可行性：在功能布局方面，本标准从提升车道通行效率和公众出行体验出发，对ETC专用车道、混合车道进行区分，对自助设备的功能进行规范完善等，目前</w:t>
      </w:r>
    </w:p>
    <w:p w14:paraId="0EDD8C1D">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jc w:val="both"/>
        <w:textAlignment w:val="auto"/>
        <w:rPr>
          <w:rFonts w:hint="eastAsia" w:ascii="Times New Roman" w:hAnsi="Times New Roman" w:eastAsia="方正仿宋简体"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简体" w:cs="Times New Roman"/>
          <w:color w:val="000000" w:themeColor="text1"/>
          <w:sz w:val="32"/>
          <w:szCs w:val="32"/>
          <w:lang w:val="en-US" w:eastAsia="zh-CN"/>
          <w14:textFill>
            <w14:solidFill>
              <w14:schemeClr w14:val="tx1"/>
            </w14:solidFill>
          </w14:textFill>
        </w:rPr>
        <w:t>省内多数传统收费站的机电设备使用年限超过15年，在建和改扩建的高速公路收费站有40余个，均属于设备更新换代阶段，可直接升级为智慧收费设备，避免重复投入。</w:t>
      </w:r>
    </w:p>
    <w:p w14:paraId="63102AFB">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jc w:val="both"/>
        <w:textAlignment w:val="auto"/>
        <w:rPr>
          <w:rFonts w:hint="eastAsia" w:ascii="Times New Roman" w:hAnsi="Times New Roman" w:eastAsia="方正仿宋简体"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简体" w:cs="Times New Roman"/>
          <w:color w:val="000000" w:themeColor="text1"/>
          <w:sz w:val="32"/>
          <w:szCs w:val="32"/>
          <w:lang w:val="en-US" w:eastAsia="zh-CN"/>
          <w14:textFill>
            <w14:solidFill>
              <w14:schemeClr w14:val="tx1"/>
            </w14:solidFill>
          </w14:textFill>
        </w:rPr>
        <w:t>岗位规范可行性：在岗位设置方面，本标准从传统收费站向智慧收费站转变着手，对智慧收费站的岗位设置、人员分工及工作内容进行优化，通过业务培训考核，员工便能从事相关岗位工作。通过人员转岗，使一线员工工作界面由前台向后台转变，一方面可以提升员工综合素质，实现一岗多能，提高员工工作幸福指数，另一方面可以压缩人力成本，提高企业经济效益。</w:t>
      </w:r>
    </w:p>
    <w:p w14:paraId="4E0C2507">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jc w:val="both"/>
        <w:textAlignment w:val="auto"/>
        <w:rPr>
          <w:rFonts w:hint="eastAsia" w:ascii="Times New Roman" w:hAnsi="Times New Roman" w:eastAsia="方正仿宋简体"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简体" w:cs="Times New Roman"/>
          <w:color w:val="000000" w:themeColor="text1"/>
          <w:sz w:val="32"/>
          <w:szCs w:val="32"/>
          <w:lang w:val="en-US" w:eastAsia="zh-CN"/>
          <w14:textFill>
            <w14:solidFill>
              <w14:schemeClr w14:val="tx1"/>
            </w14:solidFill>
          </w14:textFill>
        </w:rPr>
        <w:t>业务操作可行性：在业务操作方面，本标准从机电运维指标、内部管理、业务流程进行调整，有助于减少设备故障率，规范员工对特情车辆的处置时长，保证智慧收费站高效运行，提升公众出行体验，符合社会公众对智慧收费站的期望和需求。</w:t>
      </w:r>
    </w:p>
    <w:p w14:paraId="69760059">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ind w:left="0" w:leftChars="0" w:firstLine="600" w:firstLineChars="200"/>
        <w:textAlignment w:val="auto"/>
        <w:outlineLvl w:val="0"/>
        <w:rPr>
          <w:rFonts w:hint="eastAsia" w:ascii="方正黑体简体" w:hAnsi="方正黑体简体" w:eastAsia="方正黑体简体" w:cs="方正黑体简体"/>
          <w:color w:val="000000"/>
          <w:sz w:val="30"/>
          <w:szCs w:val="30"/>
          <w:lang w:val="en-US" w:eastAsia="zh-CN"/>
        </w:rPr>
      </w:pPr>
      <w:r>
        <w:rPr>
          <w:rFonts w:hint="eastAsia" w:ascii="方正黑体简体" w:hAnsi="方正黑体简体" w:eastAsia="方正黑体简体" w:cs="方正黑体简体"/>
          <w:color w:val="000000"/>
          <w:sz w:val="30"/>
          <w:szCs w:val="30"/>
          <w:lang w:val="en-US" w:eastAsia="zh-CN"/>
        </w:rPr>
        <w:t>三、主要起草过程</w:t>
      </w:r>
    </w:p>
    <w:p w14:paraId="2275AA8D">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jc w:val="both"/>
        <w:textAlignment w:val="auto"/>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简体" w:cs="Times New Roman"/>
          <w:color w:val="000000" w:themeColor="text1"/>
          <w:sz w:val="32"/>
          <w:szCs w:val="32"/>
          <w:lang w:val="en-US" w:eastAsia="zh-CN"/>
          <w14:textFill>
            <w14:solidFill>
              <w14:schemeClr w14:val="tx1"/>
            </w14:solidFill>
          </w14:textFill>
        </w:rPr>
        <w:t>江西省交通投资集团组织业务骨干，组建了工作小组。目前在江西省内</w:t>
      </w:r>
      <w:r>
        <w:rPr>
          <w:rFonts w:hint="eastAsia" w:eastAsia="方正仿宋简体" w:cs="Times New Roman"/>
          <w:color w:val="000000" w:themeColor="text1"/>
          <w:sz w:val="32"/>
          <w:szCs w:val="32"/>
          <w:lang w:val="en-US" w:eastAsia="zh-CN"/>
          <w14:textFill>
            <w14:solidFill>
              <w14:schemeClr w14:val="tx1"/>
            </w14:solidFill>
          </w14:textFill>
        </w:rPr>
        <w:t>和在</w:t>
      </w:r>
      <w:r>
        <w:rPr>
          <w:rFonts w:hint="eastAsia" w:ascii="Times New Roman" w:hAnsi="Times New Roman" w:eastAsia="方正仿宋简体" w:cs="Times New Roman"/>
          <w:color w:val="000000" w:themeColor="text1"/>
          <w:sz w:val="32"/>
          <w:szCs w:val="32"/>
          <w:lang w:val="en-US" w:eastAsia="zh-CN"/>
          <w14:textFill>
            <w14:solidFill>
              <w14:schemeClr w14:val="tx1"/>
            </w14:solidFill>
          </w14:textFill>
        </w:rPr>
        <w:t>高速公路智慧收费站运营管理方面，暂无系统的、标准的运营规范，起草小组调研了省内外现行相关标准的要求，结合现有智慧收费站的实际应用，形成了工作组</w:t>
      </w:r>
      <w:r>
        <w:rPr>
          <w:rFonts w:hint="eastAsia" w:eastAsia="方正仿宋简体" w:cs="Times New Roman"/>
          <w:color w:val="000000" w:themeColor="text1"/>
          <w:sz w:val="32"/>
          <w:szCs w:val="32"/>
          <w:lang w:val="en-US" w:eastAsia="zh-CN"/>
          <w14:textFill>
            <w14:solidFill>
              <w14:schemeClr w14:val="tx1"/>
            </w14:solidFill>
          </w14:textFill>
        </w:rPr>
        <w:t>征求意见</w:t>
      </w:r>
      <w:r>
        <w:rPr>
          <w:rFonts w:hint="eastAsia" w:ascii="Times New Roman" w:hAnsi="Times New Roman" w:eastAsia="方正仿宋简体" w:cs="Times New Roman"/>
          <w:color w:val="000000" w:themeColor="text1"/>
          <w:sz w:val="32"/>
          <w:szCs w:val="32"/>
          <w:lang w:val="en-US" w:eastAsia="zh-CN"/>
          <w14:textFill>
            <w14:solidFill>
              <w14:schemeClr w14:val="tx1"/>
            </w14:solidFill>
          </w14:textFill>
        </w:rPr>
        <w:t>稿，后经小组与业务管理部门及同行业务精英的反复论证与修改后，形成了标准草稿。</w:t>
      </w:r>
    </w:p>
    <w:p w14:paraId="4E070DDF">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ind w:left="0" w:leftChars="0" w:firstLine="600" w:firstLineChars="200"/>
        <w:textAlignment w:val="auto"/>
        <w:outlineLvl w:val="0"/>
        <w:rPr>
          <w:rFonts w:hint="eastAsia" w:ascii="方正黑体简体" w:hAnsi="方正黑体简体" w:eastAsia="方正黑体简体" w:cs="方正黑体简体"/>
          <w:color w:val="000000"/>
          <w:sz w:val="30"/>
          <w:szCs w:val="30"/>
          <w:lang w:val="en-US" w:eastAsia="zh-CN"/>
        </w:rPr>
      </w:pPr>
      <w:r>
        <w:rPr>
          <w:rFonts w:hint="eastAsia" w:ascii="方正黑体简体" w:hAnsi="方正黑体简体" w:eastAsia="方正黑体简体" w:cs="方正黑体简体"/>
          <w:color w:val="000000"/>
          <w:sz w:val="30"/>
          <w:szCs w:val="30"/>
          <w:lang w:val="en-US" w:eastAsia="zh-CN"/>
        </w:rPr>
        <w:t>四、制定标准的原则和依据</w:t>
      </w:r>
    </w:p>
    <w:p w14:paraId="2523122B">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jc w:val="both"/>
        <w:textAlignment w:val="auto"/>
        <w:rPr>
          <w:rFonts w:hint="eastAsia" w:ascii="Times New Roman" w:hAnsi="Times New Roman" w:eastAsia="方正仿宋简体"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简体" w:cs="Times New Roman"/>
          <w:color w:val="000000" w:themeColor="text1"/>
          <w:sz w:val="32"/>
          <w:szCs w:val="32"/>
          <w:lang w:val="en-US" w:eastAsia="zh-CN"/>
          <w14:textFill>
            <w14:solidFill>
              <w14:schemeClr w14:val="tx1"/>
            </w14:solidFill>
          </w14:textFill>
        </w:rPr>
        <w:t>本标准主要参考了《收费公路联网收费运营和服务规则（2020）</w:t>
      </w:r>
      <w:r>
        <w:rPr>
          <w:rFonts w:hint="eastAsia" w:eastAsia="方正仿宋简体" w:cs="Times New Roman"/>
          <w:color w:val="000000" w:themeColor="text1"/>
          <w:sz w:val="32"/>
          <w:szCs w:val="32"/>
          <w:lang w:val="en-US" w:eastAsia="zh-CN"/>
          <w14:textFill>
            <w14:solidFill>
              <w14:schemeClr w14:val="tx1"/>
            </w14:solidFill>
          </w14:textFill>
        </w:rPr>
        <w:t>》《</w:t>
      </w:r>
      <w:r>
        <w:rPr>
          <w:rFonts w:hint="eastAsia" w:ascii="Times New Roman" w:hAnsi="Times New Roman" w:eastAsia="方正仿宋简体" w:cs="Times New Roman"/>
          <w:color w:val="000000" w:themeColor="text1"/>
          <w:sz w:val="32"/>
          <w:szCs w:val="32"/>
          <w:lang w:val="en-US" w:eastAsia="zh-CN"/>
          <w14:textFill>
            <w14:solidFill>
              <w14:schemeClr w14:val="tx1"/>
            </w14:solidFill>
          </w14:textFill>
        </w:rPr>
        <w:t>高速公路联网收费系统优化升级收费站标准化专项试点技术方案</w:t>
      </w:r>
      <w:r>
        <w:rPr>
          <w:rFonts w:hint="eastAsia" w:eastAsia="方正仿宋简体" w:cs="Times New Roman"/>
          <w:color w:val="000000" w:themeColor="text1"/>
          <w:sz w:val="32"/>
          <w:szCs w:val="32"/>
          <w:lang w:val="en-US" w:eastAsia="zh-CN"/>
          <w14:textFill>
            <w14:solidFill>
              <w14:schemeClr w14:val="tx1"/>
            </w14:solidFill>
          </w14:textFill>
        </w:rPr>
        <w:t>》《</w:t>
      </w:r>
      <w:r>
        <w:rPr>
          <w:rFonts w:hint="eastAsia" w:ascii="Times New Roman" w:hAnsi="Times New Roman" w:eastAsia="方正仿宋简体" w:cs="Times New Roman"/>
          <w:color w:val="000000" w:themeColor="text1"/>
          <w:sz w:val="32"/>
          <w:szCs w:val="32"/>
          <w:lang w:val="en-US" w:eastAsia="zh-CN"/>
          <w14:textFill>
            <w14:solidFill>
              <w14:schemeClr w14:val="tx1"/>
            </w14:solidFill>
          </w14:textFill>
        </w:rPr>
        <w:t>江西省高速公路收费站自助车道技术规范》。按照科学性、规范性、可操作性的编制原则，制定了《高速公路智慧收费站运营规范》。</w:t>
      </w:r>
    </w:p>
    <w:p w14:paraId="12CF2CB0">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jc w:val="both"/>
        <w:textAlignment w:val="auto"/>
        <w:rPr>
          <w:rFonts w:hint="eastAsia" w:ascii="Times New Roman" w:hAnsi="Times New Roman" w:eastAsia="方正仿宋简体"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简体" w:cs="Times New Roman"/>
          <w:color w:val="000000" w:themeColor="text1"/>
          <w:sz w:val="32"/>
          <w:szCs w:val="32"/>
          <w:lang w:val="en-US" w:eastAsia="zh-CN"/>
          <w14:textFill>
            <w14:solidFill>
              <w14:schemeClr w14:val="tx1"/>
            </w14:solidFill>
          </w14:textFill>
        </w:rPr>
        <w:t>本标准主要包括：前言、引言、范围、规范性引用文件、术语和定义、功能布局、岗位设置与工作内容、管理要求与业务操作、评价与改进。</w:t>
      </w:r>
    </w:p>
    <w:p w14:paraId="531D6E9A">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ind w:left="0" w:leftChars="0" w:firstLine="600" w:firstLineChars="200"/>
        <w:textAlignment w:val="auto"/>
        <w:outlineLvl w:val="0"/>
        <w:rPr>
          <w:rFonts w:hint="eastAsia" w:ascii="方正黑体简体" w:hAnsi="方正黑体简体" w:eastAsia="方正黑体简体" w:cs="方正黑体简体"/>
          <w:color w:val="000000"/>
          <w:sz w:val="30"/>
          <w:szCs w:val="30"/>
          <w:lang w:val="en-US" w:eastAsia="zh-CN"/>
        </w:rPr>
      </w:pPr>
      <w:r>
        <w:rPr>
          <w:rFonts w:hint="eastAsia" w:ascii="方正黑体简体" w:hAnsi="方正黑体简体" w:eastAsia="方正黑体简体" w:cs="方正黑体简体"/>
          <w:color w:val="000000"/>
          <w:sz w:val="30"/>
          <w:szCs w:val="30"/>
          <w:lang w:val="en-US" w:eastAsia="zh-CN"/>
        </w:rPr>
        <w:t>五、预期的技术效果</w:t>
      </w:r>
    </w:p>
    <w:p w14:paraId="421CEF17">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jc w:val="both"/>
        <w:textAlignment w:val="auto"/>
        <w:rPr>
          <w:rFonts w:hint="eastAsia" w:ascii="Times New Roman" w:hAnsi="Times New Roman" w:eastAsia="方正仿宋简体"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简体" w:cs="Times New Roman"/>
          <w:color w:val="000000" w:themeColor="text1"/>
          <w:sz w:val="32"/>
          <w:szCs w:val="32"/>
          <w:lang w:val="en-US" w:eastAsia="zh-CN"/>
          <w14:textFill>
            <w14:solidFill>
              <w14:schemeClr w14:val="tx1"/>
            </w14:solidFill>
          </w14:textFill>
        </w:rPr>
        <w:t>本标准符合国家</w:t>
      </w:r>
      <w:r>
        <w:rPr>
          <w:rFonts w:hint="eastAsia" w:eastAsia="方正仿宋简体" w:cs="Times New Roman"/>
          <w:color w:val="000000" w:themeColor="text1"/>
          <w:sz w:val="32"/>
          <w:szCs w:val="32"/>
          <w:lang w:val="en-US" w:eastAsia="zh-CN"/>
          <w14:textFill>
            <w14:solidFill>
              <w14:schemeClr w14:val="tx1"/>
            </w14:solidFill>
          </w14:textFill>
        </w:rPr>
        <w:t>法律法规</w:t>
      </w:r>
      <w:r>
        <w:rPr>
          <w:rFonts w:hint="eastAsia" w:ascii="Times New Roman" w:hAnsi="Times New Roman" w:eastAsia="方正仿宋简体" w:cs="Times New Roman"/>
          <w:color w:val="000000" w:themeColor="text1"/>
          <w:sz w:val="32"/>
          <w:szCs w:val="32"/>
          <w:lang w:val="en-US" w:eastAsia="zh-CN"/>
          <w14:textFill>
            <w14:solidFill>
              <w14:schemeClr w14:val="tx1"/>
            </w14:solidFill>
          </w14:textFill>
        </w:rPr>
        <w:t>规定，并与有关国家标准、行业标准相协调，适用</w:t>
      </w:r>
      <w:r>
        <w:rPr>
          <w:rFonts w:hint="eastAsia" w:eastAsia="方正仿宋简体" w:cs="Times New Roman"/>
          <w:color w:val="000000" w:themeColor="text1"/>
          <w:sz w:val="32"/>
          <w:szCs w:val="32"/>
          <w:lang w:val="en-US" w:eastAsia="zh-CN"/>
          <w14:textFill>
            <w14:solidFill>
              <w14:schemeClr w14:val="tx1"/>
            </w14:solidFill>
          </w14:textFill>
        </w:rPr>
        <w:t>范围广</w:t>
      </w:r>
      <w:r>
        <w:rPr>
          <w:rFonts w:hint="eastAsia" w:ascii="Times New Roman" w:hAnsi="Times New Roman" w:eastAsia="方正仿宋简体" w:cs="Times New Roman"/>
          <w:color w:val="000000" w:themeColor="text1"/>
          <w:sz w:val="32"/>
          <w:szCs w:val="32"/>
          <w:lang w:val="en-US" w:eastAsia="zh-CN"/>
          <w14:textFill>
            <w14:solidFill>
              <w14:schemeClr w14:val="tx1"/>
            </w14:solidFill>
          </w14:textFill>
        </w:rPr>
        <w:t>，能够为江西省高速公路智慧收费站的发展提供可借鉴、可推广、可复制的经验，能够有效提升江西省营商环境与高速公路运营管理水平、司乘人员出行体验。</w:t>
      </w:r>
    </w:p>
    <w:p w14:paraId="3AC95356">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ind w:left="0" w:leftChars="0" w:firstLine="600" w:firstLineChars="200"/>
        <w:textAlignment w:val="auto"/>
        <w:outlineLvl w:val="0"/>
        <w:rPr>
          <w:rFonts w:hint="eastAsia" w:ascii="方正黑体简体" w:hAnsi="方正黑体简体" w:eastAsia="方正黑体简体" w:cs="方正黑体简体"/>
          <w:color w:val="000000"/>
          <w:sz w:val="30"/>
          <w:szCs w:val="30"/>
          <w:lang w:val="en-US" w:eastAsia="zh-CN"/>
        </w:rPr>
      </w:pPr>
      <w:r>
        <w:rPr>
          <w:rFonts w:hint="eastAsia" w:ascii="方正黑体简体" w:hAnsi="方正黑体简体" w:eastAsia="方正黑体简体" w:cs="方正黑体简体"/>
          <w:color w:val="000000"/>
          <w:sz w:val="30"/>
          <w:szCs w:val="30"/>
          <w:lang w:val="en-US" w:eastAsia="zh-CN"/>
        </w:rPr>
        <w:t>六、重大分歧的处理依据和结果</w:t>
      </w:r>
    </w:p>
    <w:p w14:paraId="4121E426">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jc w:val="both"/>
        <w:textAlignment w:val="auto"/>
        <w:rPr>
          <w:rFonts w:hint="eastAsia" w:eastAsia="方正仿宋简体" w:cs="Times New Roman"/>
          <w:color w:val="000000" w:themeColor="text1"/>
          <w:sz w:val="32"/>
          <w:szCs w:val="32"/>
          <w:lang w:val="en-US" w:eastAsia="zh-CN"/>
          <w14:textFill>
            <w14:solidFill>
              <w14:schemeClr w14:val="tx1"/>
            </w14:solidFill>
          </w14:textFill>
        </w:rPr>
      </w:pPr>
      <w:r>
        <w:rPr>
          <w:rFonts w:hint="eastAsia" w:eastAsia="方正仿宋简体" w:cs="Times New Roman"/>
          <w:color w:val="000000" w:themeColor="text1"/>
          <w:sz w:val="32"/>
          <w:szCs w:val="32"/>
          <w:lang w:val="en-US" w:eastAsia="zh-CN"/>
          <w14:textFill>
            <w14:solidFill>
              <w14:schemeClr w14:val="tx1"/>
            </w14:solidFill>
          </w14:textFill>
        </w:rPr>
        <w:t>本标准在编制制定过程中，没有产生任何重大分歧意见。</w:t>
      </w:r>
    </w:p>
    <w:p w14:paraId="3F0331D8">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ind w:left="0" w:leftChars="0" w:firstLine="600" w:firstLineChars="200"/>
        <w:textAlignment w:val="auto"/>
        <w:outlineLvl w:val="0"/>
        <w:rPr>
          <w:rFonts w:hint="eastAsia" w:ascii="方正黑体简体" w:hAnsi="方正黑体简体" w:eastAsia="方正黑体简体" w:cs="方正黑体简体"/>
          <w:color w:val="000000"/>
          <w:sz w:val="30"/>
          <w:szCs w:val="30"/>
          <w:lang w:val="en-US" w:eastAsia="zh-CN"/>
        </w:rPr>
      </w:pPr>
      <w:r>
        <w:rPr>
          <w:rFonts w:hint="eastAsia" w:ascii="方正黑体简体" w:hAnsi="方正黑体简体" w:eastAsia="方正黑体简体" w:cs="方正黑体简体"/>
          <w:color w:val="000000"/>
          <w:sz w:val="30"/>
          <w:szCs w:val="30"/>
          <w:lang w:val="en-US" w:eastAsia="zh-CN"/>
        </w:rPr>
        <w:t>七、同类标准水平对比</w:t>
      </w:r>
    </w:p>
    <w:p w14:paraId="64DF94BA">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jc w:val="both"/>
        <w:textAlignment w:val="auto"/>
        <w:rPr>
          <w:rFonts w:hint="eastAsia" w:eastAsia="方正仿宋简体" w:cs="Times New Roman"/>
          <w:color w:val="000000" w:themeColor="text1"/>
          <w:sz w:val="32"/>
          <w:szCs w:val="32"/>
          <w:lang w:val="en-US" w:eastAsia="zh-CN"/>
          <w14:textFill>
            <w14:solidFill>
              <w14:schemeClr w14:val="tx1"/>
            </w14:solidFill>
          </w14:textFill>
        </w:rPr>
      </w:pPr>
      <w:r>
        <w:rPr>
          <w:rFonts w:hint="eastAsia" w:eastAsia="方正仿宋简体" w:cs="Times New Roman"/>
          <w:color w:val="000000" w:themeColor="text1"/>
          <w:sz w:val="32"/>
          <w:szCs w:val="32"/>
          <w:lang w:val="en-US" w:eastAsia="zh-CN"/>
          <w14:textFill>
            <w14:solidFill>
              <w14:schemeClr w14:val="tx1"/>
            </w14:solidFill>
          </w14:textFill>
        </w:rPr>
        <w:t>在行业内，并无已经颁布实施的统一规范的高速公路智慧收费站运营规范用以指导智慧收费站运营工作。我省也缺乏专门针对性， 能够系统指导省内高速公路智慧收费站运营。</w:t>
      </w:r>
    </w:p>
    <w:p w14:paraId="5E89595B">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ind w:left="0" w:leftChars="0" w:firstLine="600" w:firstLineChars="200"/>
        <w:textAlignment w:val="auto"/>
        <w:outlineLvl w:val="0"/>
        <w:rPr>
          <w:rFonts w:hint="eastAsia" w:ascii="方正黑体简体" w:hAnsi="方正黑体简体" w:eastAsia="方正黑体简体" w:cs="方正黑体简体"/>
          <w:color w:val="000000"/>
          <w:sz w:val="30"/>
          <w:szCs w:val="30"/>
          <w:lang w:val="en-US" w:eastAsia="zh-CN"/>
        </w:rPr>
      </w:pPr>
      <w:r>
        <w:rPr>
          <w:rFonts w:hint="eastAsia" w:ascii="方正黑体简体" w:hAnsi="方正黑体简体" w:eastAsia="方正黑体简体" w:cs="方正黑体简体"/>
          <w:color w:val="000000"/>
          <w:sz w:val="30"/>
          <w:szCs w:val="30"/>
          <w:lang w:val="en-US" w:eastAsia="zh-CN"/>
        </w:rPr>
        <w:t>八、作为推荐性或强制性标准的建议</w:t>
      </w:r>
    </w:p>
    <w:p w14:paraId="16ED26B4">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jc w:val="both"/>
        <w:textAlignment w:val="auto"/>
        <w:rPr>
          <w:rFonts w:hint="eastAsia" w:eastAsia="方正仿宋简体" w:cs="Times New Roman"/>
          <w:color w:val="000000" w:themeColor="text1"/>
          <w:sz w:val="32"/>
          <w:szCs w:val="32"/>
          <w:lang w:val="en-US" w:eastAsia="zh-CN"/>
          <w14:textFill>
            <w14:solidFill>
              <w14:schemeClr w14:val="tx1"/>
            </w14:solidFill>
          </w14:textFill>
        </w:rPr>
      </w:pPr>
      <w:r>
        <w:rPr>
          <w:rFonts w:hint="eastAsia" w:eastAsia="方正仿宋简体" w:cs="Times New Roman"/>
          <w:color w:val="000000" w:themeColor="text1"/>
          <w:sz w:val="32"/>
          <w:szCs w:val="32"/>
          <w:lang w:val="en-US" w:eastAsia="zh-CN"/>
          <w14:textFill>
            <w14:solidFill>
              <w14:schemeClr w14:val="tx1"/>
            </w14:solidFill>
          </w14:textFill>
        </w:rPr>
        <w:t>建议本标准作为推荐性标准。</w:t>
      </w:r>
    </w:p>
    <w:p w14:paraId="0CDF5002">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ind w:left="0" w:leftChars="0" w:firstLine="600" w:firstLineChars="200"/>
        <w:textAlignment w:val="auto"/>
        <w:outlineLvl w:val="0"/>
        <w:rPr>
          <w:rFonts w:hint="eastAsia" w:ascii="方正黑体简体" w:hAnsi="方正黑体简体" w:eastAsia="方正黑体简体" w:cs="方正黑体简体"/>
          <w:color w:val="000000"/>
          <w:sz w:val="30"/>
          <w:szCs w:val="30"/>
          <w:lang w:val="en-US" w:eastAsia="zh-CN"/>
        </w:rPr>
      </w:pPr>
      <w:r>
        <w:rPr>
          <w:rFonts w:hint="eastAsia" w:ascii="方正黑体简体" w:hAnsi="方正黑体简体" w:eastAsia="方正黑体简体" w:cs="方正黑体简体"/>
          <w:color w:val="000000"/>
          <w:sz w:val="30"/>
          <w:szCs w:val="30"/>
          <w:lang w:val="en-US" w:eastAsia="zh-CN"/>
        </w:rPr>
        <w:t>九、贯彻标准的措施建议</w:t>
      </w:r>
    </w:p>
    <w:p w14:paraId="7B540BED">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jc w:val="both"/>
        <w:textAlignment w:val="auto"/>
        <w:rPr>
          <w:rFonts w:hint="eastAsia" w:eastAsia="方正仿宋简体" w:cs="Times New Roman"/>
          <w:color w:val="000000" w:themeColor="text1"/>
          <w:sz w:val="32"/>
          <w:szCs w:val="32"/>
          <w:lang w:val="en-US" w:eastAsia="zh-CN"/>
          <w14:textFill>
            <w14:solidFill>
              <w14:schemeClr w14:val="tx1"/>
            </w14:solidFill>
          </w14:textFill>
        </w:rPr>
      </w:pPr>
      <w:r>
        <w:rPr>
          <w:rFonts w:hint="eastAsia" w:eastAsia="方正仿宋简体" w:cs="Times New Roman"/>
          <w:color w:val="000000" w:themeColor="text1"/>
          <w:sz w:val="32"/>
          <w:szCs w:val="32"/>
          <w:lang w:val="en-US" w:eastAsia="zh-CN"/>
          <w14:textFill>
            <w14:solidFill>
              <w14:schemeClr w14:val="tx1"/>
            </w14:solidFill>
          </w14:textFill>
        </w:rPr>
        <w:t>建议在实际工作中加强应用，加强高速公路智慧收费站的运营管理。</w:t>
      </w:r>
    </w:p>
    <w:p w14:paraId="1273FCB9">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ind w:left="0" w:leftChars="0" w:firstLine="600" w:firstLineChars="200"/>
        <w:textAlignment w:val="auto"/>
        <w:outlineLvl w:val="0"/>
        <w:rPr>
          <w:rFonts w:hint="eastAsia" w:ascii="方正黑体简体" w:hAnsi="方正黑体简体" w:eastAsia="方正黑体简体" w:cs="方正黑体简体"/>
          <w:color w:val="000000"/>
          <w:sz w:val="30"/>
          <w:szCs w:val="30"/>
          <w:lang w:val="en-US" w:eastAsia="zh-CN"/>
        </w:rPr>
      </w:pPr>
      <w:r>
        <w:rPr>
          <w:rFonts w:hint="eastAsia" w:ascii="方正黑体简体" w:hAnsi="方正黑体简体" w:eastAsia="方正黑体简体" w:cs="方正黑体简体"/>
          <w:color w:val="000000"/>
          <w:sz w:val="30"/>
          <w:szCs w:val="30"/>
          <w:lang w:val="en-US" w:eastAsia="zh-CN"/>
        </w:rPr>
        <w:t>十、其他说明事项</w:t>
      </w:r>
    </w:p>
    <w:p w14:paraId="3AC17C11">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jc w:val="both"/>
        <w:textAlignment w:val="auto"/>
        <w:rPr>
          <w:rFonts w:hint="eastAsia" w:eastAsia="方正仿宋简体" w:cs="Times New Roman"/>
          <w:color w:val="000000" w:themeColor="text1"/>
          <w:sz w:val="32"/>
          <w:szCs w:val="32"/>
          <w:lang w:val="en-US" w:eastAsia="zh-CN"/>
          <w14:textFill>
            <w14:solidFill>
              <w14:schemeClr w14:val="tx1"/>
            </w14:solidFill>
          </w14:textFill>
        </w:rPr>
      </w:pPr>
      <w:r>
        <w:rPr>
          <w:rFonts w:hint="eastAsia" w:eastAsia="方正仿宋简体" w:cs="Times New Roman"/>
          <w:color w:val="000000" w:themeColor="text1"/>
          <w:sz w:val="32"/>
          <w:szCs w:val="32"/>
          <w:lang w:val="en-US" w:eastAsia="zh-CN"/>
          <w14:textFill>
            <w14:solidFill>
              <w14:schemeClr w14:val="tx1"/>
            </w14:solidFill>
          </w14:textFill>
        </w:rPr>
        <w:t>无。</w:t>
      </w:r>
      <w:r>
        <w:rPr>
          <w:rFonts w:hint="eastAsia" w:eastAsia="方正仿宋简体" w:cs="Times New Roman"/>
          <w:color w:val="000000" w:themeColor="text1"/>
          <w:sz w:val="32"/>
          <w:szCs w:val="32"/>
          <w:lang w:val="en-US" w:eastAsia="zh-CN"/>
          <w14:textFill>
            <w14:solidFill>
              <w14:schemeClr w14:val="tx1"/>
            </w14:solidFill>
          </w14:textFill>
        </w:rPr>
        <w:tab/>
      </w:r>
    </w:p>
    <w:p w14:paraId="04EC49E7">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ind w:left="480" w:leftChars="200" w:firstLine="2811" w:firstLineChars="1000"/>
        <w:jc w:val="left"/>
        <w:textAlignment w:val="auto"/>
        <w:rPr>
          <w:rFonts w:hint="eastAsia"/>
          <w:b/>
          <w:bCs/>
          <w:sz w:val="28"/>
          <w:szCs w:val="28"/>
        </w:rPr>
      </w:pPr>
    </w:p>
    <w:p w14:paraId="06F7B500">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ind w:firstLine="2880" w:firstLineChars="900"/>
        <w:jc w:val="both"/>
        <w:textAlignment w:val="auto"/>
        <w:rPr>
          <w:rFonts w:hint="eastAsia" w:eastAsia="方正仿宋简体" w:cs="Times New Roman"/>
          <w:color w:val="000000" w:themeColor="text1"/>
          <w:sz w:val="32"/>
          <w:szCs w:val="32"/>
          <w:lang w:val="en-US" w:eastAsia="zh-CN"/>
          <w14:textFill>
            <w14:solidFill>
              <w14:schemeClr w14:val="tx1"/>
            </w14:solidFill>
          </w14:textFill>
        </w:rPr>
      </w:pPr>
      <w:r>
        <w:rPr>
          <w:rFonts w:hint="eastAsia" w:eastAsia="方正仿宋简体" w:cs="Times New Roman"/>
          <w:color w:val="000000" w:themeColor="text1"/>
          <w:sz w:val="32"/>
          <w:szCs w:val="32"/>
          <w:lang w:val="en-US" w:eastAsia="zh-CN"/>
          <w14:textFill>
            <w14:solidFill>
              <w14:schemeClr w14:val="tx1"/>
            </w14:solidFill>
          </w14:textFill>
        </w:rPr>
        <w:t>《高速公路智慧收费站运营规范》</w:t>
      </w:r>
    </w:p>
    <w:p w14:paraId="12D795D9">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jc w:val="both"/>
        <w:textAlignment w:val="auto"/>
        <w:rPr>
          <w:rFonts w:hint="eastAsia" w:eastAsia="方正仿宋简体" w:cs="Times New Roman"/>
          <w:color w:val="000000" w:themeColor="text1"/>
          <w:sz w:val="32"/>
          <w:szCs w:val="32"/>
          <w:lang w:val="en-US" w:eastAsia="zh-CN"/>
          <w14:textFill>
            <w14:solidFill>
              <w14:schemeClr w14:val="tx1"/>
            </w14:solidFill>
          </w14:textFill>
        </w:rPr>
      </w:pPr>
      <w:r>
        <w:rPr>
          <w:rFonts w:hint="eastAsia" w:eastAsia="方正仿宋简体" w:cs="Times New Roman"/>
          <w:color w:val="000000" w:themeColor="text1"/>
          <w:sz w:val="32"/>
          <w:szCs w:val="32"/>
          <w:lang w:val="en-US" w:eastAsia="zh-CN"/>
          <w14:textFill>
            <w14:solidFill>
              <w14:schemeClr w14:val="tx1"/>
            </w14:solidFill>
          </w14:textFill>
        </w:rPr>
        <w:t xml:space="preserve">                      地方标准起草小组</w:t>
      </w:r>
    </w:p>
    <w:p w14:paraId="64375C44">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jc w:val="both"/>
        <w:textAlignment w:val="auto"/>
        <w:rPr>
          <w:rFonts w:hint="eastAsia" w:eastAsia="方正仿宋简体" w:cs="Times New Roman"/>
          <w:color w:val="000000" w:themeColor="text1"/>
          <w:sz w:val="32"/>
          <w:szCs w:val="32"/>
          <w:lang w:val="en-US" w:eastAsia="zh-CN"/>
          <w14:textFill>
            <w14:solidFill>
              <w14:schemeClr w14:val="tx1"/>
            </w14:solidFill>
          </w14:textFill>
        </w:rPr>
      </w:pPr>
      <w:r>
        <w:rPr>
          <w:rFonts w:hint="eastAsia" w:eastAsia="方正仿宋简体" w:cs="Times New Roman"/>
          <w:color w:val="000000" w:themeColor="text1"/>
          <w:sz w:val="32"/>
          <w:szCs w:val="32"/>
          <w:lang w:val="en-US" w:eastAsia="zh-CN"/>
          <w14:textFill>
            <w14:solidFill>
              <w14:schemeClr w14:val="tx1"/>
            </w14:solidFill>
          </w14:textFill>
        </w:rPr>
        <w:t xml:space="preserve">                      2025年2月28</w:t>
      </w:r>
      <w:bookmarkStart w:id="0" w:name="_GoBack"/>
      <w:bookmarkEnd w:id="0"/>
      <w:r>
        <w:rPr>
          <w:rFonts w:hint="eastAsia" w:eastAsia="方正仿宋简体" w:cs="Times New Roman"/>
          <w:color w:val="000000" w:themeColor="text1"/>
          <w:sz w:val="32"/>
          <w:szCs w:val="32"/>
          <w:lang w:val="en-US" w:eastAsia="zh-CN"/>
          <w14:textFill>
            <w14:solidFill>
              <w14:schemeClr w14:val="tx1"/>
            </w14:solidFill>
          </w14:textFill>
        </w:rPr>
        <w:t>日</w:t>
      </w:r>
    </w:p>
    <w:sectPr>
      <w:headerReference r:id="rId5" w:type="default"/>
      <w:footerReference r:id="rId6" w:type="default"/>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E8AEB">
    <w:pPr>
      <w:pStyle w:val="2"/>
      <w:spacing w:before="120" w:after="120"/>
      <w:jc w:val="both"/>
      <w:rPr>
        <w:rFonts w:hint="default" w:eastAsia="宋体"/>
        <w:lang w:val="en-US" w:eastAsia="zh-CN"/>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E9344ED">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２</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PO5ICLRAQAAogMAAA4AAAAAAAAAAQAgAAAAHgEAAGRy&#10;cy9lMm9Eb2MueG1sUEsFBgAAAAAGAAYAWQEAAGEFAAAAAA==&#10;">
              <v:fill on="f" focussize="0,0"/>
              <v:stroke on="f"/>
              <v:imagedata o:title=""/>
              <o:lock v:ext="edit" aspectratio="f"/>
              <v:textbox inset="0mm,0mm,0mm,0mm" style="mso-fit-shape-to-text:t;">
                <w:txbxContent>
                  <w:p w14:paraId="3E9344ED">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２</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7D5F419">
                          <w:pPr>
                            <w:ind w:left="0" w:leftChars="0" w:firstLine="0" w:firstLineChars="0"/>
                            <w:rPr>
                              <w:rFonts w:hint="default"/>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FTMQafRAQAAogMAAA4AAAAAAAAAAQAgAAAAHgEAAGRy&#10;cy9lMm9Eb2MueG1sUEsFBgAAAAAGAAYAWQEAAGEFAAAAAA==&#10;">
              <v:fill on="f" focussize="0,0"/>
              <v:stroke on="f"/>
              <v:imagedata o:title=""/>
              <o:lock v:ext="edit" aspectratio="f"/>
              <v:textbox inset="0mm,0mm,0mm,0mm" style="mso-fit-shape-to-text:t;">
                <w:txbxContent>
                  <w:p w14:paraId="17D5F419">
                    <w:pPr>
                      <w:ind w:left="0" w:leftChars="0" w:firstLine="0" w:firstLineChars="0"/>
                      <w:rPr>
                        <w:rFonts w:hint="default"/>
                        <w:lang w:val="en-US" w:eastAsia="zh-CN"/>
                      </w:rPr>
                    </w:pP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EBBB2D5">
                          <w:pPr>
                            <w:ind w:left="0" w:leftChars="0" w:firstLine="0" w:firstLineChars="0"/>
                            <w:rPr>
                              <w:rFonts w:hint="default"/>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G6V/17RAQAAogMAAA4AAAAAAAAAAQAgAAAAHgEAAGRy&#10;cy9lMm9Eb2MueG1sUEsFBgAAAAAGAAYAWQEAAGEFAAAAAA==&#10;">
              <v:fill on="f" focussize="0,0"/>
              <v:stroke on="f"/>
              <v:imagedata o:title=""/>
              <o:lock v:ext="edit" aspectratio="f"/>
              <v:textbox inset="0mm,0mm,0mm,0mm" style="mso-fit-shape-to-text:t;">
                <w:txbxContent>
                  <w:p w14:paraId="1EBBB2D5">
                    <w:pPr>
                      <w:ind w:left="0" w:leftChars="0" w:firstLine="0" w:firstLineChars="0"/>
                      <w:rPr>
                        <w:rFonts w:hint="default"/>
                        <w:lang w:val="en-US" w:eastAsia="zh-CN"/>
                      </w:rPr>
                    </w:pP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5544EFF">
                          <w:pPr>
                            <w:pStyle w:val="2"/>
                            <w:rPr>
                              <w:rFonts w:hint="default" w:eastAsia="宋体"/>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JY8iKPRAQAAogMAAA4AAAAAAAAAAQAgAAAAHgEAAGRy&#10;cy9lMm9Eb2MueG1sUEsFBgAAAAAGAAYAWQEAAGEFAAAAAA==&#10;">
              <v:fill on="f" focussize="0,0"/>
              <v:stroke on="f"/>
              <v:imagedata o:title=""/>
              <o:lock v:ext="edit" aspectratio="f"/>
              <v:textbox inset="0mm,0mm,0mm,0mm" style="mso-fit-shape-to-text:t;">
                <w:txbxContent>
                  <w:p w14:paraId="75544EFF">
                    <w:pPr>
                      <w:pStyle w:val="2"/>
                      <w:rPr>
                        <w:rFonts w:hint="default" w:eastAsia="宋体"/>
                        <w:lang w:val="en-US" w:eastAsia="zh-CN"/>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ind w:firstLine="480"/>
      </w:pPr>
      <w:r>
        <w:separator/>
      </w:r>
    </w:p>
  </w:footnote>
  <w:footnote w:type="continuationSeparator" w:id="1">
    <w:p>
      <w:pPr>
        <w:spacing w:before="0" w:after="0"/>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165FA">
    <w:pPr>
      <w:pStyle w:val="3"/>
      <w:pBdr>
        <w:bottom w:val="none" w:color="auto" w:sz="0" w:space="1"/>
      </w:pBdr>
      <w:spacing w:before="120" w:beforeLines="0" w:after="120" w:afterLines="0"/>
      <w:ind w:firstLine="0" w:firstLineChars="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0"/>
      <w:suff w:val="nothing"/>
      <w:lvlText w:val="%1%2　"/>
      <w:lvlJc w:val="left"/>
      <w:pPr>
        <w:ind w:left="0" w:firstLine="0"/>
      </w:pPr>
      <w:rPr>
        <w:rFonts w:hint="eastAsia" w:ascii="黑体" w:eastAsia="黑体"/>
        <w:b w:val="0"/>
        <w:i w:val="0"/>
        <w:sz w:val="21"/>
      </w:rPr>
    </w:lvl>
    <w:lvl w:ilvl="2" w:tentative="0">
      <w:start w:val="1"/>
      <w:numFmt w:val="decimal"/>
      <w:pStyle w:val="9"/>
      <w:suff w:val="nothing"/>
      <w:lvlText w:val="%1%2.%3　"/>
      <w:lvlJc w:val="left"/>
      <w:pPr>
        <w:ind w:left="0" w:firstLine="0"/>
      </w:pPr>
      <w:rPr>
        <w:rFonts w:hint="eastAsia" w:ascii="黑体" w:hAnsi="Times New Roman" w:eastAsia="黑体" w:cs="Times New Roman"/>
        <w:b/>
        <w:bCs/>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1MWQxNzE2MmM2ZDNhNzkxNWY0NDlkZDc5OWRmMDYifQ=="/>
  </w:docVars>
  <w:rsids>
    <w:rsidRoot w:val="10A24D6D"/>
    <w:rsid w:val="05430ED8"/>
    <w:rsid w:val="0BEC62FA"/>
    <w:rsid w:val="10A24D6D"/>
    <w:rsid w:val="1B86100A"/>
    <w:rsid w:val="1DD33E44"/>
    <w:rsid w:val="1F012304"/>
    <w:rsid w:val="23C96DBA"/>
    <w:rsid w:val="385B1BEF"/>
    <w:rsid w:val="3B6927CA"/>
    <w:rsid w:val="45351F4C"/>
    <w:rsid w:val="4A2D79A8"/>
    <w:rsid w:val="608A120D"/>
    <w:rsid w:val="7CFF0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50" w:afterLines="50"/>
      <w:ind w:firstLine="480" w:firstLineChars="200"/>
      <w:jc w:val="both"/>
    </w:pPr>
    <w:rPr>
      <w:rFonts w:ascii="Times New Roman" w:hAnsi="Times New Roman" w:eastAsia="宋体" w:cs="Times New Roman"/>
      <w:kern w:val="2"/>
      <w:sz w:val="24"/>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Default"/>
    <w:qFormat/>
    <w:uiPriority w:val="99"/>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8">
    <w:name w:val="CM121"/>
    <w:basedOn w:val="7"/>
    <w:next w:val="7"/>
    <w:unhideWhenUsed/>
    <w:qFormat/>
    <w:uiPriority w:val="99"/>
    <w:rPr>
      <w:rFonts w:hint="eastAsia" w:ascii="楷体_GB2312" w:hAnsi="楷体_GB2312" w:eastAsia="楷体_GB2312" w:cs="Times New Roman"/>
      <w:szCs w:val="22"/>
    </w:rPr>
  </w:style>
  <w:style w:type="paragraph" w:customStyle="1" w:styleId="9">
    <w:name w:val="标准文件_一级条标题"/>
    <w:basedOn w:val="10"/>
    <w:next w:val="11"/>
    <w:qFormat/>
    <w:uiPriority w:val="0"/>
    <w:pPr>
      <w:numPr>
        <w:ilvl w:val="2"/>
      </w:numPr>
      <w:spacing w:before="50" w:beforeLines="50" w:after="50" w:afterLines="50"/>
      <w:outlineLvl w:val="1"/>
    </w:pPr>
  </w:style>
  <w:style w:type="paragraph" w:customStyle="1" w:styleId="10">
    <w:name w:val="标准文件_章标题"/>
    <w:next w:val="11"/>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2522</Words>
  <Characters>2561</Characters>
  <Lines>0</Lines>
  <Paragraphs>0</Paragraphs>
  <TotalTime>3</TotalTime>
  <ScaleCrop>false</ScaleCrop>
  <LinksUpToDate>false</LinksUpToDate>
  <CharactersWithSpaces>2607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2019-06-13T06:30:00Z</dcterms:created>
  <dc:creator>ytm</dc:creator>
  <cp:lastModifiedBy>徐娟娟</cp:lastModifiedBy>
  <cp:lastPrinted>2024-09-05T07:11:00Z</cp:lastPrinted>
  <dcterms:modified xsi:type="dcterms:W3CDTF">2025-02-28T06:54:10Z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C5AEB66D7E7E4613BE75075A23C19951_12</vt:lpwstr>
  </property>
</Properties>
</file>